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9B184" w14:textId="77777777" w:rsidR="008315FB" w:rsidRDefault="00000000">
      <w:pPr>
        <w:pBdr>
          <w:bottom w:val="single" w:sz="24" w:space="2" w:color="E9A81C"/>
        </w:pBdr>
      </w:pPr>
      <w:r>
        <w:rPr>
          <w:b/>
          <w:bCs/>
          <w:color w:val="C8890A"/>
          <w:spacing w:val="80"/>
          <w:sz w:val="30"/>
          <w:szCs w:val="30"/>
        </w:rPr>
        <w:t>FANWAVE</w:t>
      </w:r>
    </w:p>
    <w:p w14:paraId="7789B185" w14:textId="77777777" w:rsidR="008315FB" w:rsidRDefault="00000000">
      <w:pPr>
        <w:spacing w:before="280" w:after="70"/>
      </w:pPr>
      <w:r>
        <w:rPr>
          <w:b/>
          <w:bCs/>
          <w:sz w:val="50"/>
          <w:szCs w:val="50"/>
        </w:rPr>
        <w:t>Garantibetingelser</w:t>
      </w:r>
    </w:p>
    <w:p w14:paraId="7789B186" w14:textId="77777777" w:rsidR="008315FB" w:rsidRDefault="00000000">
      <w:pPr>
        <w:spacing w:after="220" w:line="288" w:lineRule="auto"/>
      </w:pPr>
      <w:r>
        <w:rPr>
          <w:color w:val="5C6873"/>
          <w:sz w:val="23"/>
          <w:szCs w:val="23"/>
        </w:rPr>
        <w:t>Garanti, reklamationsret og afhjælpning</w:t>
      </w:r>
    </w:p>
    <w:p w14:paraId="7789B187" w14:textId="77777777" w:rsidR="008315FB" w:rsidRDefault="00000000">
      <w:pPr>
        <w:pBdr>
          <w:bottom w:val="single" w:sz="4" w:space="8" w:color="DCDCDC"/>
        </w:pBdr>
        <w:spacing w:after="340"/>
      </w:pPr>
      <w:r>
        <w:rPr>
          <w:color w:val="5C6873"/>
          <w:sz w:val="16"/>
          <w:szCs w:val="16"/>
        </w:rPr>
        <w:t>Fanwave ApS · CVR-nr. 45976599 · Håndværkervej 9, 7700 Thisted · Tlf. +45 22 33 72 40 · info@fanwave.dk</w:t>
      </w:r>
    </w:p>
    <w:p w14:paraId="7789B188" w14:textId="77777777" w:rsidR="008315FB" w:rsidRDefault="00000000">
      <w:pPr>
        <w:spacing w:after="280"/>
      </w:pPr>
      <w:r>
        <w:rPr>
          <w:b/>
          <w:bCs/>
          <w:color w:val="5C6873"/>
          <w:spacing w:val="20"/>
          <w:sz w:val="16"/>
          <w:szCs w:val="16"/>
        </w:rPr>
        <w:t>Version 1.1 · Gældende fra 3. september 2026</w:t>
      </w:r>
    </w:p>
    <w:p w14:paraId="7789B189" w14:textId="77777777" w:rsidR="008315FB" w:rsidRDefault="00000000">
      <w:pPr>
        <w:spacing w:after="170" w:line="288" w:lineRule="auto"/>
      </w:pPr>
      <w:r>
        <w:rPr>
          <w:color w:val="5C6873"/>
        </w:rPr>
        <w:t>Dette dokument beskriver, hvilken garanti Fanwave ApS yder på arbejde og leverede produkter, og hvordan garantien forholder sig til den reklamationsret, du har efter dansk lovgivning.</w:t>
      </w:r>
    </w:p>
    <w:p w14:paraId="7789B18A" w14:textId="77777777" w:rsidR="008315FB" w:rsidRDefault="00000000">
      <w:pPr>
        <w:spacing w:after="170" w:line="288" w:lineRule="auto"/>
      </w:pPr>
      <w:r>
        <w:rPr>
          <w:color w:val="5C6873"/>
        </w:rPr>
        <w:t>Garantibetingelserne supplerer Fanwaves handelsbetingelser. Ved uoverensstemmelse går handelsbetingelserne forud, bortset fra hvor dette dokument giver dig en bedre ret.</w:t>
      </w:r>
    </w:p>
    <w:p w14:paraId="7789B18B" w14:textId="77777777" w:rsidR="008315FB" w:rsidRDefault="00000000">
      <w:pPr>
        <w:spacing w:after="170" w:line="288" w:lineRule="auto"/>
      </w:pPr>
      <w:r>
        <w:rPr>
          <w:color w:val="5C6873"/>
        </w:rPr>
        <w:t>Reglerne er ikke ens for private og erhverv. Hvert afsnit er mærket med, hvem det gælder for, og de vigtigste forskelle står i oversigten nedenfor.</w:t>
      </w:r>
    </w:p>
    <w:p w14:paraId="7789B18C" w14:textId="77777777" w:rsidR="008315FB" w:rsidRDefault="00000000">
      <w:pPr>
        <w:spacing w:before="200" w:after="130"/>
      </w:pPr>
      <w:r>
        <w:rPr>
          <w:b/>
          <w:bCs/>
          <w:sz w:val="24"/>
          <w:szCs w:val="24"/>
        </w:rPr>
        <w:t>Privat eller erhverv — de vigtigste forskelle</w:t>
      </w:r>
    </w:p>
    <w:p w14:paraId="7789B18D" w14:textId="77777777" w:rsidR="008315FB" w:rsidRDefault="00000000">
      <w:pPr>
        <w:spacing w:after="150" w:line="288" w:lineRule="auto"/>
      </w:pPr>
      <w:r>
        <w:rPr>
          <w:color w:val="5C6873"/>
          <w:sz w:val="19"/>
          <w:szCs w:val="19"/>
        </w:rPr>
        <w:t>Oversigten gælder reklamations- og garantiforhold. Detaljerne står i afsnittene nedenfor og i handelsbetingelserne.</w:t>
      </w:r>
    </w:p>
    <w:tbl>
      <w:tblPr>
        <w:tblW w:w="9639" w:type="dxa"/>
        <w:tblBorders>
          <w:top w:val="single" w:sz="2" w:space="0" w:color="DCDCDC"/>
          <w:left w:val="none" w:sz="0" w:space="0" w:color="FFFFFF"/>
          <w:bottom w:val="single" w:sz="2" w:space="0" w:color="DCDCDC"/>
          <w:right w:val="none" w:sz="0" w:space="0" w:color="FFFFFF"/>
          <w:insideH w:val="single" w:sz="2" w:space="0" w:color="EAEAEA"/>
          <w:insideV w:val="none" w:sz="0" w:space="0" w:color="FFFFFF"/>
        </w:tblBorders>
        <w:tblCellMar>
          <w:left w:w="10" w:type="dxa"/>
          <w:right w:w="10" w:type="dxa"/>
        </w:tblCellMar>
        <w:tblLook w:val="0000" w:firstRow="0" w:lastRow="0" w:firstColumn="0" w:lastColumn="0" w:noHBand="0" w:noVBand="0"/>
      </w:tblPr>
      <w:tblGrid>
        <w:gridCol w:w="2506"/>
        <w:gridCol w:w="3566"/>
        <w:gridCol w:w="3567"/>
      </w:tblGrid>
      <w:tr w:rsidR="008315FB" w14:paraId="7789B191" w14:textId="77777777">
        <w:trPr>
          <w:tblHeader/>
        </w:trPr>
        <w:tc>
          <w:tcPr>
            <w:tcW w:w="2506" w:type="dxa"/>
            <w:shd w:val="clear" w:color="auto" w:fill="E9A81C"/>
            <w:tcMar>
              <w:top w:w="110" w:type="dxa"/>
              <w:left w:w="140" w:type="dxa"/>
              <w:bottom w:w="110" w:type="dxa"/>
              <w:right w:w="140" w:type="dxa"/>
            </w:tcMar>
          </w:tcPr>
          <w:p w14:paraId="7789B18E" w14:textId="77777777" w:rsidR="008315FB" w:rsidRDefault="00000000">
            <w:pPr>
              <w:spacing w:line="264" w:lineRule="auto"/>
            </w:pPr>
            <w:r>
              <w:rPr>
                <w:b/>
                <w:bCs/>
                <w:color w:val="FFFFFF"/>
                <w:spacing w:val="20"/>
                <w:sz w:val="19"/>
                <w:szCs w:val="19"/>
              </w:rPr>
              <w:t>Emne</w:t>
            </w:r>
          </w:p>
        </w:tc>
        <w:tc>
          <w:tcPr>
            <w:tcW w:w="3566" w:type="dxa"/>
            <w:shd w:val="clear" w:color="auto" w:fill="E9A81C"/>
            <w:tcMar>
              <w:top w:w="110" w:type="dxa"/>
              <w:left w:w="140" w:type="dxa"/>
              <w:bottom w:w="110" w:type="dxa"/>
              <w:right w:w="140" w:type="dxa"/>
            </w:tcMar>
          </w:tcPr>
          <w:p w14:paraId="7789B18F" w14:textId="77777777" w:rsidR="008315FB" w:rsidRDefault="00000000">
            <w:pPr>
              <w:spacing w:line="264" w:lineRule="auto"/>
            </w:pPr>
            <w:r>
              <w:rPr>
                <w:b/>
                <w:bCs/>
                <w:color w:val="FFFFFF"/>
                <w:spacing w:val="20"/>
                <w:sz w:val="19"/>
                <w:szCs w:val="19"/>
              </w:rPr>
              <w:t>Privat forbruger</w:t>
            </w:r>
          </w:p>
        </w:tc>
        <w:tc>
          <w:tcPr>
            <w:tcW w:w="3567" w:type="dxa"/>
            <w:shd w:val="clear" w:color="auto" w:fill="E9A81C"/>
            <w:tcMar>
              <w:top w:w="110" w:type="dxa"/>
              <w:left w:w="140" w:type="dxa"/>
              <w:bottom w:w="110" w:type="dxa"/>
              <w:right w:w="140" w:type="dxa"/>
            </w:tcMar>
          </w:tcPr>
          <w:p w14:paraId="7789B190" w14:textId="77777777" w:rsidR="008315FB" w:rsidRDefault="00000000">
            <w:pPr>
              <w:spacing w:line="264" w:lineRule="auto"/>
            </w:pPr>
            <w:r>
              <w:rPr>
                <w:b/>
                <w:bCs/>
                <w:color w:val="FFFFFF"/>
                <w:spacing w:val="20"/>
                <w:sz w:val="19"/>
                <w:szCs w:val="19"/>
              </w:rPr>
              <w:t>Erhvervskunde</w:t>
            </w:r>
          </w:p>
        </w:tc>
      </w:tr>
      <w:tr w:rsidR="008315FB" w14:paraId="7789B195" w14:textId="77777777">
        <w:tc>
          <w:tcPr>
            <w:tcW w:w="2506" w:type="dxa"/>
            <w:tcMar>
              <w:top w:w="110" w:type="dxa"/>
              <w:left w:w="140" w:type="dxa"/>
              <w:bottom w:w="110" w:type="dxa"/>
              <w:right w:w="140" w:type="dxa"/>
            </w:tcMar>
          </w:tcPr>
          <w:p w14:paraId="7789B192" w14:textId="77777777" w:rsidR="008315FB" w:rsidRDefault="00000000">
            <w:pPr>
              <w:spacing w:line="264" w:lineRule="auto"/>
            </w:pPr>
            <w:r>
              <w:rPr>
                <w:b/>
                <w:bCs/>
                <w:sz w:val="19"/>
                <w:szCs w:val="19"/>
              </w:rPr>
              <w:t>Reklamationsret, varer</w:t>
            </w:r>
          </w:p>
        </w:tc>
        <w:tc>
          <w:tcPr>
            <w:tcW w:w="3566" w:type="dxa"/>
            <w:tcMar>
              <w:top w:w="110" w:type="dxa"/>
              <w:left w:w="140" w:type="dxa"/>
              <w:bottom w:w="110" w:type="dxa"/>
              <w:right w:w="140" w:type="dxa"/>
            </w:tcMar>
          </w:tcPr>
          <w:p w14:paraId="7789B193" w14:textId="77777777" w:rsidR="008315FB" w:rsidRDefault="00000000">
            <w:pPr>
              <w:spacing w:line="264" w:lineRule="auto"/>
            </w:pPr>
            <w:r>
              <w:rPr>
                <w:sz w:val="19"/>
                <w:szCs w:val="19"/>
              </w:rPr>
              <w:t>2 år efter købeloven</w:t>
            </w:r>
          </w:p>
        </w:tc>
        <w:tc>
          <w:tcPr>
            <w:tcW w:w="3567" w:type="dxa"/>
            <w:tcMar>
              <w:top w:w="110" w:type="dxa"/>
              <w:left w:w="140" w:type="dxa"/>
              <w:bottom w:w="110" w:type="dxa"/>
              <w:right w:w="140" w:type="dxa"/>
            </w:tcMar>
          </w:tcPr>
          <w:p w14:paraId="7789B194" w14:textId="77777777" w:rsidR="008315FB" w:rsidRDefault="00000000">
            <w:pPr>
              <w:spacing w:line="264" w:lineRule="auto"/>
            </w:pPr>
            <w:r>
              <w:rPr>
                <w:sz w:val="19"/>
                <w:szCs w:val="19"/>
              </w:rPr>
              <w:t>12 måneder fra levering — købelovens 2-årige frist er fraveget</w:t>
            </w:r>
          </w:p>
        </w:tc>
      </w:tr>
      <w:tr w:rsidR="008315FB" w14:paraId="7789B199" w14:textId="77777777">
        <w:tc>
          <w:tcPr>
            <w:tcW w:w="2506" w:type="dxa"/>
            <w:shd w:val="clear" w:color="auto" w:fill="F8F7F4"/>
            <w:tcMar>
              <w:top w:w="110" w:type="dxa"/>
              <w:left w:w="140" w:type="dxa"/>
              <w:bottom w:w="110" w:type="dxa"/>
              <w:right w:w="140" w:type="dxa"/>
            </w:tcMar>
          </w:tcPr>
          <w:p w14:paraId="7789B196" w14:textId="77777777" w:rsidR="008315FB" w:rsidRDefault="00000000">
            <w:pPr>
              <w:spacing w:line="264" w:lineRule="auto"/>
            </w:pPr>
            <w:r>
              <w:rPr>
                <w:b/>
                <w:bCs/>
                <w:sz w:val="19"/>
                <w:szCs w:val="19"/>
              </w:rPr>
              <w:t>Reklamationsret, byggeri</w:t>
            </w:r>
          </w:p>
        </w:tc>
        <w:tc>
          <w:tcPr>
            <w:tcW w:w="3566" w:type="dxa"/>
            <w:shd w:val="clear" w:color="auto" w:fill="F8F7F4"/>
            <w:tcMar>
              <w:top w:w="110" w:type="dxa"/>
              <w:left w:w="140" w:type="dxa"/>
              <w:bottom w:w="110" w:type="dxa"/>
              <w:right w:w="140" w:type="dxa"/>
            </w:tcMar>
          </w:tcPr>
          <w:p w14:paraId="7789B197" w14:textId="77777777" w:rsidR="008315FB" w:rsidRDefault="00000000">
            <w:pPr>
              <w:spacing w:line="264" w:lineRule="auto"/>
            </w:pPr>
            <w:r>
              <w:rPr>
                <w:sz w:val="19"/>
                <w:szCs w:val="19"/>
              </w:rPr>
              <w:t>Som udgangspunkt 5 år efter aflevering, jf. AB Forbruger</w:t>
            </w:r>
          </w:p>
        </w:tc>
        <w:tc>
          <w:tcPr>
            <w:tcW w:w="3567" w:type="dxa"/>
            <w:shd w:val="clear" w:color="auto" w:fill="F8F7F4"/>
            <w:tcMar>
              <w:top w:w="110" w:type="dxa"/>
              <w:left w:w="140" w:type="dxa"/>
              <w:bottom w:w="110" w:type="dxa"/>
              <w:right w:w="140" w:type="dxa"/>
            </w:tcMar>
          </w:tcPr>
          <w:p w14:paraId="7789B198" w14:textId="77777777" w:rsidR="008315FB" w:rsidRDefault="00000000">
            <w:pPr>
              <w:spacing w:line="264" w:lineRule="auto"/>
            </w:pPr>
            <w:r>
              <w:rPr>
                <w:sz w:val="19"/>
                <w:szCs w:val="19"/>
              </w:rPr>
              <w:t>5 år efter aflevering, jf. AB Forenklet eller AB 18</w:t>
            </w:r>
          </w:p>
        </w:tc>
      </w:tr>
      <w:tr w:rsidR="008315FB" w14:paraId="7789B19D" w14:textId="77777777">
        <w:tc>
          <w:tcPr>
            <w:tcW w:w="2506" w:type="dxa"/>
            <w:tcMar>
              <w:top w:w="110" w:type="dxa"/>
              <w:left w:w="140" w:type="dxa"/>
              <w:bottom w:w="110" w:type="dxa"/>
              <w:right w:w="140" w:type="dxa"/>
            </w:tcMar>
          </w:tcPr>
          <w:p w14:paraId="7789B19A" w14:textId="77777777" w:rsidR="008315FB" w:rsidRDefault="00000000">
            <w:pPr>
              <w:spacing w:line="264" w:lineRule="auto"/>
            </w:pPr>
            <w:r>
              <w:rPr>
                <w:b/>
                <w:bCs/>
                <w:sz w:val="19"/>
                <w:szCs w:val="19"/>
              </w:rPr>
              <w:t>Fanwaves garanti på montage</w:t>
            </w:r>
          </w:p>
        </w:tc>
        <w:tc>
          <w:tcPr>
            <w:tcW w:w="3566" w:type="dxa"/>
            <w:tcMar>
              <w:top w:w="110" w:type="dxa"/>
              <w:left w:w="140" w:type="dxa"/>
              <w:bottom w:w="110" w:type="dxa"/>
              <w:right w:w="140" w:type="dxa"/>
            </w:tcMar>
          </w:tcPr>
          <w:p w14:paraId="7789B19B" w14:textId="77777777" w:rsidR="008315FB" w:rsidRDefault="00000000">
            <w:pPr>
              <w:spacing w:line="264" w:lineRule="auto"/>
            </w:pPr>
            <w:r>
              <w:rPr>
                <w:sz w:val="19"/>
                <w:szCs w:val="19"/>
              </w:rPr>
              <w:t>5 år fra afleveringsdagen</w:t>
            </w:r>
          </w:p>
        </w:tc>
        <w:tc>
          <w:tcPr>
            <w:tcW w:w="3567" w:type="dxa"/>
            <w:tcMar>
              <w:top w:w="110" w:type="dxa"/>
              <w:left w:w="140" w:type="dxa"/>
              <w:bottom w:w="110" w:type="dxa"/>
              <w:right w:w="140" w:type="dxa"/>
            </w:tcMar>
          </w:tcPr>
          <w:p w14:paraId="7789B19C" w14:textId="77777777" w:rsidR="008315FB" w:rsidRDefault="00000000">
            <w:pPr>
              <w:spacing w:line="264" w:lineRule="auto"/>
            </w:pPr>
            <w:r>
              <w:rPr>
                <w:sz w:val="19"/>
                <w:szCs w:val="19"/>
              </w:rPr>
              <w:t>5 år fra afleveringsdagen</w:t>
            </w:r>
          </w:p>
        </w:tc>
      </w:tr>
      <w:tr w:rsidR="008315FB" w14:paraId="7789B1A1" w14:textId="77777777">
        <w:tc>
          <w:tcPr>
            <w:tcW w:w="2506" w:type="dxa"/>
            <w:shd w:val="clear" w:color="auto" w:fill="F8F7F4"/>
            <w:tcMar>
              <w:top w:w="110" w:type="dxa"/>
              <w:left w:w="140" w:type="dxa"/>
              <w:bottom w:w="110" w:type="dxa"/>
              <w:right w:w="140" w:type="dxa"/>
            </w:tcMar>
          </w:tcPr>
          <w:p w14:paraId="7789B19E" w14:textId="77777777" w:rsidR="008315FB" w:rsidRDefault="00000000">
            <w:pPr>
              <w:spacing w:line="264" w:lineRule="auto"/>
            </w:pPr>
            <w:r>
              <w:rPr>
                <w:b/>
                <w:bCs/>
                <w:sz w:val="19"/>
                <w:szCs w:val="19"/>
              </w:rPr>
              <w:t>Producentgaranti på komponenter</w:t>
            </w:r>
          </w:p>
        </w:tc>
        <w:tc>
          <w:tcPr>
            <w:tcW w:w="3566" w:type="dxa"/>
            <w:shd w:val="clear" w:color="auto" w:fill="F8F7F4"/>
            <w:tcMar>
              <w:top w:w="110" w:type="dxa"/>
              <w:left w:w="140" w:type="dxa"/>
              <w:bottom w:w="110" w:type="dxa"/>
              <w:right w:w="140" w:type="dxa"/>
            </w:tcMar>
          </w:tcPr>
          <w:p w14:paraId="7789B19F" w14:textId="77777777" w:rsidR="008315FB" w:rsidRDefault="00000000">
            <w:pPr>
              <w:spacing w:line="264" w:lineRule="auto"/>
            </w:pPr>
            <w:r>
              <w:rPr>
                <w:sz w:val="19"/>
                <w:szCs w:val="19"/>
              </w:rPr>
              <w:t>Producentens vilkår og periode</w:t>
            </w:r>
          </w:p>
        </w:tc>
        <w:tc>
          <w:tcPr>
            <w:tcW w:w="3567" w:type="dxa"/>
            <w:shd w:val="clear" w:color="auto" w:fill="F8F7F4"/>
            <w:tcMar>
              <w:top w:w="110" w:type="dxa"/>
              <w:left w:w="140" w:type="dxa"/>
              <w:bottom w:w="110" w:type="dxa"/>
              <w:right w:w="140" w:type="dxa"/>
            </w:tcMar>
          </w:tcPr>
          <w:p w14:paraId="7789B1A0" w14:textId="77777777" w:rsidR="008315FB" w:rsidRDefault="00000000">
            <w:pPr>
              <w:spacing w:line="264" w:lineRule="auto"/>
            </w:pPr>
            <w:r>
              <w:rPr>
                <w:sz w:val="19"/>
                <w:szCs w:val="19"/>
              </w:rPr>
              <w:t>Producentens vilkår og periode</w:t>
            </w:r>
          </w:p>
        </w:tc>
      </w:tr>
      <w:tr w:rsidR="008315FB" w14:paraId="7789B1A5" w14:textId="77777777">
        <w:tc>
          <w:tcPr>
            <w:tcW w:w="2506" w:type="dxa"/>
            <w:tcMar>
              <w:top w:w="110" w:type="dxa"/>
              <w:left w:w="140" w:type="dxa"/>
              <w:bottom w:w="110" w:type="dxa"/>
              <w:right w:w="140" w:type="dxa"/>
            </w:tcMar>
          </w:tcPr>
          <w:p w14:paraId="7789B1A2" w14:textId="77777777" w:rsidR="008315FB" w:rsidRDefault="00000000">
            <w:pPr>
              <w:spacing w:line="264" w:lineRule="auto"/>
            </w:pPr>
            <w:r>
              <w:rPr>
                <w:b/>
                <w:bCs/>
                <w:sz w:val="19"/>
                <w:szCs w:val="19"/>
              </w:rPr>
              <w:t>Frist for at reklamere</w:t>
            </w:r>
          </w:p>
        </w:tc>
        <w:tc>
          <w:tcPr>
            <w:tcW w:w="3566" w:type="dxa"/>
            <w:tcMar>
              <w:top w:w="110" w:type="dxa"/>
              <w:left w:w="140" w:type="dxa"/>
              <w:bottom w:w="110" w:type="dxa"/>
              <w:right w:w="140" w:type="dxa"/>
            </w:tcMar>
          </w:tcPr>
          <w:p w14:paraId="7789B1A3" w14:textId="0D02AD00" w:rsidR="008315FB" w:rsidRDefault="00000000">
            <w:pPr>
              <w:spacing w:line="264" w:lineRule="auto"/>
            </w:pPr>
            <w:r>
              <w:rPr>
                <w:sz w:val="19"/>
                <w:szCs w:val="19"/>
              </w:rPr>
              <w:t>Inden rimelig tid — inden 2 måneder er altid rettidigt</w:t>
            </w:r>
            <w:r w:rsidR="004805BC">
              <w:rPr>
                <w:sz w:val="19"/>
                <w:szCs w:val="19"/>
              </w:rPr>
              <w:t xml:space="preserve"> </w:t>
            </w:r>
          </w:p>
        </w:tc>
        <w:tc>
          <w:tcPr>
            <w:tcW w:w="3567" w:type="dxa"/>
            <w:tcMar>
              <w:top w:w="110" w:type="dxa"/>
              <w:left w:w="140" w:type="dxa"/>
              <w:bottom w:w="110" w:type="dxa"/>
              <w:right w:w="140" w:type="dxa"/>
            </w:tcMar>
          </w:tcPr>
          <w:p w14:paraId="7789B1A4" w14:textId="77777777" w:rsidR="008315FB" w:rsidRDefault="00000000">
            <w:pPr>
              <w:spacing w:line="264" w:lineRule="auto"/>
            </w:pPr>
            <w:r>
              <w:rPr>
                <w:sz w:val="19"/>
                <w:szCs w:val="19"/>
              </w:rPr>
              <w:t>Straks ved synlige fejl, senest 5 arbejdsdage. Ellers uden ugrundet ophold</w:t>
            </w:r>
          </w:p>
        </w:tc>
      </w:tr>
      <w:tr w:rsidR="008315FB" w14:paraId="7789B1A9" w14:textId="77777777">
        <w:tc>
          <w:tcPr>
            <w:tcW w:w="2506" w:type="dxa"/>
            <w:shd w:val="clear" w:color="auto" w:fill="F8F7F4"/>
            <w:tcMar>
              <w:top w:w="110" w:type="dxa"/>
              <w:left w:w="140" w:type="dxa"/>
              <w:bottom w:w="110" w:type="dxa"/>
              <w:right w:w="140" w:type="dxa"/>
            </w:tcMar>
          </w:tcPr>
          <w:p w14:paraId="7789B1A6" w14:textId="77777777" w:rsidR="008315FB" w:rsidRDefault="00000000">
            <w:pPr>
              <w:spacing w:line="264" w:lineRule="auto"/>
            </w:pPr>
            <w:r>
              <w:rPr>
                <w:b/>
                <w:bCs/>
                <w:sz w:val="19"/>
                <w:szCs w:val="19"/>
              </w:rPr>
              <w:t>Erstatning</w:t>
            </w:r>
          </w:p>
        </w:tc>
        <w:tc>
          <w:tcPr>
            <w:tcW w:w="3566" w:type="dxa"/>
            <w:shd w:val="clear" w:color="auto" w:fill="F8F7F4"/>
            <w:tcMar>
              <w:top w:w="110" w:type="dxa"/>
              <w:left w:w="140" w:type="dxa"/>
              <w:bottom w:w="110" w:type="dxa"/>
              <w:right w:w="140" w:type="dxa"/>
            </w:tcMar>
          </w:tcPr>
          <w:p w14:paraId="7789B1A7" w14:textId="77777777" w:rsidR="008315FB" w:rsidRDefault="00000000">
            <w:pPr>
              <w:spacing w:line="264" w:lineRule="auto"/>
            </w:pPr>
            <w:r>
              <w:rPr>
                <w:sz w:val="19"/>
                <w:szCs w:val="19"/>
              </w:rPr>
              <w:t>Dansk rets almindelige regler</w:t>
            </w:r>
          </w:p>
        </w:tc>
        <w:tc>
          <w:tcPr>
            <w:tcW w:w="3567" w:type="dxa"/>
            <w:shd w:val="clear" w:color="auto" w:fill="F8F7F4"/>
            <w:tcMar>
              <w:top w:w="110" w:type="dxa"/>
              <w:left w:w="140" w:type="dxa"/>
              <w:bottom w:w="110" w:type="dxa"/>
              <w:right w:w="140" w:type="dxa"/>
            </w:tcMar>
          </w:tcPr>
          <w:p w14:paraId="7789B1A8" w14:textId="77777777" w:rsidR="008315FB" w:rsidRDefault="00000000">
            <w:pPr>
              <w:spacing w:line="264" w:lineRule="auto"/>
            </w:pPr>
            <w:r>
              <w:rPr>
                <w:sz w:val="19"/>
                <w:szCs w:val="19"/>
              </w:rPr>
              <w:t>Begrænset — intet indirekte tab, jf. handelsbetingelsernes afsnit 18</w:t>
            </w:r>
          </w:p>
        </w:tc>
      </w:tr>
      <w:tr w:rsidR="008315FB" w14:paraId="7789B1AD" w14:textId="77777777">
        <w:tc>
          <w:tcPr>
            <w:tcW w:w="2506" w:type="dxa"/>
            <w:tcMar>
              <w:top w:w="110" w:type="dxa"/>
              <w:left w:w="140" w:type="dxa"/>
              <w:bottom w:w="110" w:type="dxa"/>
              <w:right w:w="140" w:type="dxa"/>
            </w:tcMar>
          </w:tcPr>
          <w:p w14:paraId="7789B1AA" w14:textId="77777777" w:rsidR="008315FB" w:rsidRDefault="00000000">
            <w:pPr>
              <w:spacing w:line="264" w:lineRule="auto"/>
            </w:pPr>
            <w:r>
              <w:rPr>
                <w:b/>
                <w:bCs/>
                <w:sz w:val="19"/>
                <w:szCs w:val="19"/>
              </w:rPr>
              <w:t>Klageadgang</w:t>
            </w:r>
          </w:p>
        </w:tc>
        <w:tc>
          <w:tcPr>
            <w:tcW w:w="3566" w:type="dxa"/>
            <w:tcMar>
              <w:top w:w="110" w:type="dxa"/>
              <w:left w:w="140" w:type="dxa"/>
              <w:bottom w:w="110" w:type="dxa"/>
              <w:right w:w="140" w:type="dxa"/>
            </w:tcMar>
          </w:tcPr>
          <w:p w14:paraId="7789B1AB" w14:textId="77777777" w:rsidR="008315FB" w:rsidRDefault="00000000">
            <w:pPr>
              <w:spacing w:line="264" w:lineRule="auto"/>
            </w:pPr>
            <w:r>
              <w:rPr>
                <w:sz w:val="19"/>
                <w:szCs w:val="19"/>
              </w:rPr>
              <w:t>Byggeriets Ankenævn eller Nævnenes Hus</w:t>
            </w:r>
          </w:p>
        </w:tc>
        <w:tc>
          <w:tcPr>
            <w:tcW w:w="3567" w:type="dxa"/>
            <w:tcMar>
              <w:top w:w="110" w:type="dxa"/>
              <w:left w:w="140" w:type="dxa"/>
              <w:bottom w:w="110" w:type="dxa"/>
              <w:right w:w="140" w:type="dxa"/>
            </w:tcMar>
          </w:tcPr>
          <w:p w14:paraId="7789B1AC" w14:textId="77777777" w:rsidR="008315FB" w:rsidRDefault="00000000">
            <w:pPr>
              <w:spacing w:line="264" w:lineRule="auto"/>
            </w:pPr>
            <w:r>
              <w:rPr>
                <w:sz w:val="19"/>
                <w:szCs w:val="19"/>
              </w:rPr>
              <w:t>Voldgiftsnævnet for Byggeri og Anlæg, ellers domstolene</w:t>
            </w:r>
          </w:p>
        </w:tc>
      </w:tr>
    </w:tbl>
    <w:p w14:paraId="7789B1AE" w14:textId="77777777" w:rsidR="008315FB" w:rsidRDefault="008315FB">
      <w:pPr>
        <w:spacing w:after="200"/>
      </w:pPr>
    </w:p>
    <w:p w14:paraId="7789B1AF" w14:textId="77777777" w:rsidR="008315FB" w:rsidRDefault="00000000">
      <w:pPr>
        <w:spacing w:after="200" w:line="264" w:lineRule="auto"/>
      </w:pPr>
      <w:r>
        <w:rPr>
          <w:color w:val="5C6873"/>
          <w:sz w:val="16"/>
          <w:szCs w:val="16"/>
        </w:rPr>
        <w:t xml:space="preserve">Afsnit uden mærkat gælder både private og erhverv. Mærkaterne er </w:t>
      </w:r>
      <w:r>
        <w:rPr>
          <w:b/>
          <w:bCs/>
          <w:color w:val="2A6079"/>
          <w:spacing w:val="30"/>
          <w:sz w:val="16"/>
          <w:szCs w:val="16"/>
        </w:rPr>
        <w:t>KUN ERHVERV</w:t>
      </w:r>
      <w:r>
        <w:rPr>
          <w:color w:val="5C6873"/>
          <w:sz w:val="16"/>
          <w:szCs w:val="16"/>
        </w:rPr>
        <w:t xml:space="preserve">  og  </w:t>
      </w:r>
      <w:r>
        <w:rPr>
          <w:b/>
          <w:bCs/>
          <w:color w:val="C8890A"/>
          <w:spacing w:val="30"/>
          <w:sz w:val="16"/>
          <w:szCs w:val="16"/>
        </w:rPr>
        <w:t>KUN PRIVAT</w:t>
      </w:r>
      <w:r>
        <w:rPr>
          <w:color w:val="5C6873"/>
          <w:sz w:val="16"/>
          <w:szCs w:val="16"/>
        </w:rPr>
        <w:t>.</w:t>
      </w:r>
    </w:p>
    <w:p w14:paraId="7789B1B0" w14:textId="77777777" w:rsidR="008315FB" w:rsidRDefault="00000000">
      <w:pPr>
        <w:pStyle w:val="Overskrift1"/>
        <w:keepNext/>
        <w:pBdr>
          <w:bottom w:val="single" w:sz="8" w:space="6" w:color="C8890A"/>
        </w:pBdr>
        <w:tabs>
          <w:tab w:val="right" w:pos="9639"/>
        </w:tabs>
        <w:spacing w:before="360" w:after="180"/>
      </w:pPr>
      <w:r>
        <w:rPr>
          <w:color w:val="C8890A"/>
        </w:rPr>
        <w:t xml:space="preserve">1. </w:t>
      </w:r>
      <w:r>
        <w:t>Garanti og reklamationsret er ikke det samme</w:t>
      </w:r>
    </w:p>
    <w:p w14:paraId="7789B1B1" w14:textId="77777777" w:rsidR="008315FB" w:rsidRDefault="00000000">
      <w:pPr>
        <w:tabs>
          <w:tab w:val="left" w:pos="700"/>
        </w:tabs>
        <w:spacing w:after="150" w:line="288" w:lineRule="auto"/>
        <w:ind w:left="700" w:hanging="700"/>
      </w:pPr>
      <w:r>
        <w:rPr>
          <w:b/>
          <w:bCs/>
          <w:color w:val="C8890A"/>
        </w:rPr>
        <w:t>1.1</w:t>
      </w:r>
      <w:r>
        <w:tab/>
        <w:t xml:space="preserve">Reklamationsret er en rettighed, du har efter loven. Er du forbruger, har du 2 års reklamationsret ved køb af varer efter købeloven. Ved bygge- og anlægsarbejder kan du som udgangspunkt gøre </w:t>
      </w:r>
      <w:r>
        <w:lastRenderedPageBreak/>
        <w:t>mangelskrav gældende i 5 år efter arbejdets aflevering. Reklamationsretten gælder, uanset om der er givet garanti, og den dækker fejl og mangler, der var til stede ved leveringen.</w:t>
      </w:r>
    </w:p>
    <w:p w14:paraId="7789B1B2" w14:textId="77777777" w:rsidR="008315FB" w:rsidRDefault="00000000">
      <w:pPr>
        <w:tabs>
          <w:tab w:val="left" w:pos="700"/>
        </w:tabs>
        <w:spacing w:after="150" w:line="288" w:lineRule="auto"/>
        <w:ind w:left="700" w:hanging="700"/>
      </w:pPr>
      <w:r>
        <w:rPr>
          <w:b/>
          <w:bCs/>
          <w:color w:val="C8890A"/>
        </w:rPr>
        <w:t>1.2</w:t>
      </w:r>
      <w:r>
        <w:tab/>
        <w:t>Garanti er en frivillig ekstra ydelse, som Fanwave eller en producent giver oven i den lovbestemte reklamationsret. En garanti kan dække i længere tid eller dække forhold, som reklamationsretten ikke omfatter.</w:t>
      </w:r>
    </w:p>
    <w:p w14:paraId="7789B1B3" w14:textId="77777777" w:rsidR="008315FB" w:rsidRDefault="00000000">
      <w:pPr>
        <w:tabs>
          <w:tab w:val="left" w:pos="700"/>
        </w:tabs>
        <w:spacing w:after="150" w:line="288" w:lineRule="auto"/>
        <w:ind w:left="700" w:hanging="700"/>
      </w:pPr>
      <w:r>
        <w:rPr>
          <w:b/>
          <w:bCs/>
          <w:color w:val="C8890A"/>
        </w:rPr>
        <w:t>1.3</w:t>
      </w:r>
      <w:r>
        <w:tab/>
        <w:t>En garanti begrænser aldrig dine rettigheder efter loven. Er du forbruger, kan du altid vælge at gøre din reklamationsret gældende i stedet for garantien.</w:t>
      </w:r>
    </w:p>
    <w:p w14:paraId="7789B1B4" w14:textId="77777777" w:rsidR="008315FB" w:rsidRDefault="00000000">
      <w:pPr>
        <w:tabs>
          <w:tab w:val="left" w:pos="700"/>
        </w:tabs>
        <w:spacing w:after="150" w:line="288" w:lineRule="auto"/>
        <w:ind w:left="700" w:hanging="700"/>
      </w:pPr>
      <w:r>
        <w:rPr>
          <w:b/>
          <w:bCs/>
          <w:color w:val="C8890A"/>
        </w:rPr>
        <w:t>1.4</w:t>
      </w:r>
      <w:r>
        <w:tab/>
        <w:t>For erhvervskunder gælder de reklamationsfrister, der fremgår af Fanwaves handelsbetingelser, herunder en reklamationsfrist på 12 måneder for rene vareleverancer uden montage og 5 år for bygge- og anlægsarbejder efter det vedtagne AB-regelsæt.</w:t>
      </w:r>
    </w:p>
    <w:p w14:paraId="7789B1B5" w14:textId="77777777" w:rsidR="008315FB" w:rsidRDefault="00000000">
      <w:pPr>
        <w:pStyle w:val="Overskrift1"/>
        <w:keepNext/>
        <w:pBdr>
          <w:bottom w:val="single" w:sz="8" w:space="6" w:color="C8890A"/>
        </w:pBdr>
        <w:tabs>
          <w:tab w:val="right" w:pos="9639"/>
        </w:tabs>
        <w:spacing w:before="360" w:after="180"/>
      </w:pPr>
      <w:r>
        <w:rPr>
          <w:color w:val="C8890A"/>
        </w:rPr>
        <w:t xml:space="preserve">2. </w:t>
      </w:r>
      <w:r>
        <w:t>Fanwaves garanti på udført arbejde</w:t>
      </w:r>
    </w:p>
    <w:p w14:paraId="7789B1B6" w14:textId="4AD98AC5" w:rsidR="008315FB" w:rsidRPr="003315DF" w:rsidRDefault="00000000">
      <w:pPr>
        <w:tabs>
          <w:tab w:val="left" w:pos="700"/>
        </w:tabs>
        <w:spacing w:after="150" w:line="288" w:lineRule="auto"/>
        <w:ind w:left="700" w:hanging="700"/>
        <w:rPr>
          <w:color w:val="EE0000"/>
        </w:rPr>
      </w:pPr>
      <w:r>
        <w:rPr>
          <w:b/>
          <w:bCs/>
          <w:color w:val="C8890A"/>
        </w:rPr>
        <w:t>2.1</w:t>
      </w:r>
      <w:r>
        <w:tab/>
        <w:t xml:space="preserve">Fanwave yder 5 års garanti på eget udført montage- og installationsarbejde regnet fra afleveringsdagen. </w:t>
      </w:r>
    </w:p>
    <w:p w14:paraId="7789B1B7" w14:textId="77777777" w:rsidR="008315FB" w:rsidRDefault="00000000">
      <w:pPr>
        <w:tabs>
          <w:tab w:val="left" w:pos="700"/>
        </w:tabs>
        <w:spacing w:after="150" w:line="288" w:lineRule="auto"/>
        <w:ind w:left="700" w:hanging="700"/>
      </w:pPr>
      <w:r>
        <w:rPr>
          <w:b/>
          <w:bCs/>
          <w:color w:val="C8890A"/>
        </w:rPr>
        <w:t>2.2</w:t>
      </w:r>
      <w:r>
        <w:tab/>
        <w:t>Garantien omfatter arbejdsløn, kørsel og materialer, der er nødvendige for at udbedre den dækkede fejl.</w:t>
      </w:r>
    </w:p>
    <w:p w14:paraId="7789B1B8" w14:textId="77777777" w:rsidR="008315FB" w:rsidRDefault="00000000">
      <w:pPr>
        <w:tabs>
          <w:tab w:val="left" w:pos="700"/>
        </w:tabs>
        <w:spacing w:after="150" w:line="288" w:lineRule="auto"/>
        <w:ind w:left="700" w:hanging="700"/>
      </w:pPr>
      <w:r>
        <w:rPr>
          <w:b/>
          <w:bCs/>
          <w:color w:val="C8890A"/>
        </w:rPr>
        <w:t>2.3</w:t>
      </w:r>
      <w:r>
        <w:tab/>
        <w:t>Garantien forudsætter, at anlægget er anvendt og vedligeholdt i overensstemmelse med producentens anvisninger og den udleverede drifts- og vedligeholdelsesdokumentation, og at eventuelle foreskrevne serviceeftersyn er gennemført og kan dokumenteres.</w:t>
      </w:r>
    </w:p>
    <w:p w14:paraId="7789B1B9" w14:textId="77777777" w:rsidR="008315FB" w:rsidRDefault="00000000">
      <w:pPr>
        <w:tabs>
          <w:tab w:val="left" w:pos="700"/>
        </w:tabs>
        <w:spacing w:after="150" w:line="288" w:lineRule="auto"/>
        <w:ind w:left="700" w:hanging="700"/>
      </w:pPr>
      <w:r>
        <w:rPr>
          <w:b/>
          <w:bCs/>
          <w:color w:val="C8890A"/>
        </w:rPr>
        <w:t>2.4</w:t>
      </w:r>
      <w:r>
        <w:tab/>
        <w:t>Garantien bortfalder for den del af anlægget, hvor tredjemand har foretaget indgreb, ændringer, reparationer eller tilkoblinger uden Fanwaves skriftlige accept.</w:t>
      </w:r>
    </w:p>
    <w:p w14:paraId="7789B1BA" w14:textId="77777777" w:rsidR="008315FB" w:rsidRDefault="00000000">
      <w:pPr>
        <w:pStyle w:val="Overskrift1"/>
        <w:keepNext/>
        <w:pBdr>
          <w:bottom w:val="single" w:sz="8" w:space="6" w:color="C8890A"/>
        </w:pBdr>
        <w:tabs>
          <w:tab w:val="right" w:pos="9639"/>
        </w:tabs>
        <w:spacing w:before="360" w:after="180"/>
      </w:pPr>
      <w:r>
        <w:rPr>
          <w:color w:val="C8890A"/>
        </w:rPr>
        <w:t xml:space="preserve">3. </w:t>
      </w:r>
      <w:r>
        <w:t>Producentgarantier på leverede produkter</w:t>
      </w:r>
    </w:p>
    <w:p w14:paraId="7789B1BB" w14:textId="77777777" w:rsidR="008315FB" w:rsidRDefault="00000000">
      <w:pPr>
        <w:tabs>
          <w:tab w:val="left" w:pos="700"/>
        </w:tabs>
        <w:spacing w:after="150" w:line="288" w:lineRule="auto"/>
        <w:ind w:left="700" w:hanging="700"/>
      </w:pPr>
      <w:r>
        <w:rPr>
          <w:b/>
          <w:bCs/>
          <w:color w:val="C8890A"/>
        </w:rPr>
        <w:t>3.1</w:t>
      </w:r>
      <w:r>
        <w:tab/>
        <w:t>For komponenter og produkter, som Fanwave leverer, men ikke selv producerer, gælder den pågældende producents garantivilkår. Garantiperiode, dækningsomfang og betingelser fastsættes af producenten og fremgår af det garantibevis eller datablad, der udleveres ved afleveringen.</w:t>
      </w:r>
    </w:p>
    <w:p w14:paraId="7789B1BC" w14:textId="77777777" w:rsidR="008315FB" w:rsidRDefault="00000000">
      <w:pPr>
        <w:tabs>
          <w:tab w:val="left" w:pos="700"/>
        </w:tabs>
        <w:spacing w:after="150" w:line="288" w:lineRule="auto"/>
        <w:ind w:left="700" w:hanging="700"/>
      </w:pPr>
      <w:r>
        <w:rPr>
          <w:b/>
          <w:bCs/>
          <w:color w:val="C8890A"/>
        </w:rPr>
        <w:t>3.2</w:t>
      </w:r>
      <w:r>
        <w:tab/>
        <w:t>Den konkrete garantiperiode for dit anlæg fremgår af ordrebekræftelsen og af den dokumentation, du modtager ved afleveringen. Nedenstående oversigt viser, hvilke typer garanti der sædvanligvis knytter sig til de enkelte komponenter.</w:t>
      </w:r>
    </w:p>
    <w:p w14:paraId="7789B1BD" w14:textId="77777777" w:rsidR="008315FB" w:rsidRDefault="008315FB">
      <w:pPr>
        <w:spacing w:after="80"/>
      </w:pPr>
    </w:p>
    <w:tbl>
      <w:tblPr>
        <w:tblW w:w="9639" w:type="dxa"/>
        <w:tblBorders>
          <w:top w:val="single" w:sz="2" w:space="0" w:color="DCDCDC"/>
          <w:left w:val="none" w:sz="0" w:space="0" w:color="FFFFFF"/>
          <w:bottom w:val="single" w:sz="2" w:space="0" w:color="DCDCDC"/>
          <w:right w:val="none" w:sz="0" w:space="0" w:color="FFFFFF"/>
          <w:insideH w:val="single" w:sz="2" w:space="0" w:color="EAEAEA"/>
          <w:insideV w:val="none" w:sz="0" w:space="0" w:color="FFFFFF"/>
        </w:tblBorders>
        <w:tblCellMar>
          <w:left w:w="10" w:type="dxa"/>
          <w:right w:w="10" w:type="dxa"/>
        </w:tblCellMar>
        <w:tblLook w:val="0000" w:firstRow="0" w:lastRow="0" w:firstColumn="0" w:lastColumn="0" w:noHBand="0" w:noVBand="0"/>
      </w:tblPr>
      <w:tblGrid>
        <w:gridCol w:w="3084"/>
        <w:gridCol w:w="6555"/>
      </w:tblGrid>
      <w:tr w:rsidR="008315FB" w14:paraId="7789B1C0" w14:textId="77777777">
        <w:trPr>
          <w:tblHeader/>
        </w:trPr>
        <w:tc>
          <w:tcPr>
            <w:tcW w:w="3084" w:type="dxa"/>
            <w:shd w:val="clear" w:color="auto" w:fill="E9A81C"/>
            <w:tcMar>
              <w:top w:w="110" w:type="dxa"/>
              <w:left w:w="140" w:type="dxa"/>
              <w:bottom w:w="110" w:type="dxa"/>
              <w:right w:w="140" w:type="dxa"/>
            </w:tcMar>
          </w:tcPr>
          <w:p w14:paraId="7789B1BE" w14:textId="77777777" w:rsidR="008315FB" w:rsidRDefault="00000000">
            <w:pPr>
              <w:spacing w:line="264" w:lineRule="auto"/>
            </w:pPr>
            <w:r>
              <w:rPr>
                <w:b/>
                <w:bCs/>
                <w:color w:val="FFFFFF"/>
                <w:spacing w:val="20"/>
                <w:sz w:val="19"/>
                <w:szCs w:val="19"/>
              </w:rPr>
              <w:t>Komponent</w:t>
            </w:r>
          </w:p>
        </w:tc>
        <w:tc>
          <w:tcPr>
            <w:tcW w:w="6555" w:type="dxa"/>
            <w:shd w:val="clear" w:color="auto" w:fill="E9A81C"/>
            <w:tcMar>
              <w:top w:w="110" w:type="dxa"/>
              <w:left w:w="140" w:type="dxa"/>
              <w:bottom w:w="110" w:type="dxa"/>
              <w:right w:w="140" w:type="dxa"/>
            </w:tcMar>
          </w:tcPr>
          <w:p w14:paraId="7789B1BF" w14:textId="77777777" w:rsidR="008315FB" w:rsidRDefault="00000000">
            <w:pPr>
              <w:spacing w:line="264" w:lineRule="auto"/>
            </w:pPr>
            <w:r>
              <w:rPr>
                <w:b/>
                <w:bCs/>
                <w:color w:val="FFFFFF"/>
                <w:spacing w:val="20"/>
                <w:sz w:val="19"/>
                <w:szCs w:val="19"/>
              </w:rPr>
              <w:t>Typisk garantiform</w:t>
            </w:r>
          </w:p>
        </w:tc>
      </w:tr>
      <w:tr w:rsidR="008315FB" w14:paraId="7789B1C3" w14:textId="77777777">
        <w:tc>
          <w:tcPr>
            <w:tcW w:w="3084" w:type="dxa"/>
            <w:tcMar>
              <w:top w:w="110" w:type="dxa"/>
              <w:left w:w="140" w:type="dxa"/>
              <w:bottom w:w="110" w:type="dxa"/>
              <w:right w:w="140" w:type="dxa"/>
            </w:tcMar>
          </w:tcPr>
          <w:p w14:paraId="7789B1C1" w14:textId="77777777" w:rsidR="008315FB" w:rsidRDefault="00000000">
            <w:pPr>
              <w:spacing w:line="264" w:lineRule="auto"/>
            </w:pPr>
            <w:r>
              <w:rPr>
                <w:sz w:val="19"/>
                <w:szCs w:val="19"/>
              </w:rPr>
              <w:t>Solcellemoduler</w:t>
            </w:r>
          </w:p>
        </w:tc>
        <w:tc>
          <w:tcPr>
            <w:tcW w:w="6555" w:type="dxa"/>
            <w:tcMar>
              <w:top w:w="110" w:type="dxa"/>
              <w:left w:w="140" w:type="dxa"/>
              <w:bottom w:w="110" w:type="dxa"/>
              <w:right w:w="140" w:type="dxa"/>
            </w:tcMar>
          </w:tcPr>
          <w:p w14:paraId="7789B1C2" w14:textId="4DD1A40F" w:rsidR="008315FB" w:rsidRDefault="00000000">
            <w:pPr>
              <w:spacing w:line="264" w:lineRule="auto"/>
            </w:pPr>
            <w:r>
              <w:rPr>
                <w:sz w:val="19"/>
                <w:szCs w:val="19"/>
              </w:rPr>
              <w:t>Produktgaranti fra producenten samt en særskilt effektgaranti, der angiver en garanteret restydelse efter et antal år</w:t>
            </w:r>
            <w:r w:rsidR="00981D1F">
              <w:rPr>
                <w:sz w:val="19"/>
                <w:szCs w:val="19"/>
              </w:rPr>
              <w:t>. Ofte betinget af serviceeftersyn</w:t>
            </w:r>
            <w:r w:rsidR="005D6CD3">
              <w:rPr>
                <w:sz w:val="19"/>
                <w:szCs w:val="19"/>
              </w:rPr>
              <w:t xml:space="preserve"> efter producentens anvisning</w:t>
            </w:r>
          </w:p>
        </w:tc>
      </w:tr>
      <w:tr w:rsidR="008315FB" w14:paraId="7789B1C6" w14:textId="77777777">
        <w:tc>
          <w:tcPr>
            <w:tcW w:w="3084" w:type="dxa"/>
            <w:shd w:val="clear" w:color="auto" w:fill="F8F7F4"/>
            <w:tcMar>
              <w:top w:w="110" w:type="dxa"/>
              <w:left w:w="140" w:type="dxa"/>
              <w:bottom w:w="110" w:type="dxa"/>
              <w:right w:w="140" w:type="dxa"/>
            </w:tcMar>
          </w:tcPr>
          <w:p w14:paraId="7789B1C4" w14:textId="77777777" w:rsidR="008315FB" w:rsidRDefault="00000000">
            <w:pPr>
              <w:spacing w:line="264" w:lineRule="auto"/>
            </w:pPr>
            <w:r>
              <w:rPr>
                <w:sz w:val="19"/>
                <w:szCs w:val="19"/>
              </w:rPr>
              <w:t>Invertere og optimizere</w:t>
            </w:r>
          </w:p>
        </w:tc>
        <w:tc>
          <w:tcPr>
            <w:tcW w:w="6555" w:type="dxa"/>
            <w:shd w:val="clear" w:color="auto" w:fill="F8F7F4"/>
            <w:tcMar>
              <w:top w:w="110" w:type="dxa"/>
              <w:left w:w="140" w:type="dxa"/>
              <w:bottom w:w="110" w:type="dxa"/>
              <w:right w:w="140" w:type="dxa"/>
            </w:tcMar>
          </w:tcPr>
          <w:p w14:paraId="7789B1C5" w14:textId="33D18B14" w:rsidR="008315FB" w:rsidRDefault="00000000">
            <w:pPr>
              <w:spacing w:line="264" w:lineRule="auto"/>
            </w:pPr>
            <w:r>
              <w:rPr>
                <w:sz w:val="19"/>
                <w:szCs w:val="19"/>
              </w:rPr>
              <w:t>Produktgaranti fra producenten, ofte med mulighed for tilkøb af forlængelse</w:t>
            </w:r>
            <w:r w:rsidR="00BB06F6">
              <w:rPr>
                <w:sz w:val="19"/>
                <w:szCs w:val="19"/>
              </w:rPr>
              <w:t xml:space="preserve">. </w:t>
            </w:r>
            <w:r w:rsidR="00BB06F6">
              <w:rPr>
                <w:sz w:val="19"/>
                <w:szCs w:val="19"/>
              </w:rPr>
              <w:t>Ofte betinget af serviceeftersyn efter producentens anvisning</w:t>
            </w:r>
          </w:p>
        </w:tc>
      </w:tr>
      <w:tr w:rsidR="008315FB" w14:paraId="7789B1C9" w14:textId="77777777">
        <w:tc>
          <w:tcPr>
            <w:tcW w:w="3084" w:type="dxa"/>
            <w:tcMar>
              <w:top w:w="110" w:type="dxa"/>
              <w:left w:w="140" w:type="dxa"/>
              <w:bottom w:w="110" w:type="dxa"/>
              <w:right w:w="140" w:type="dxa"/>
            </w:tcMar>
          </w:tcPr>
          <w:p w14:paraId="7789B1C7" w14:textId="77777777" w:rsidR="008315FB" w:rsidRDefault="00000000">
            <w:pPr>
              <w:spacing w:line="264" w:lineRule="auto"/>
            </w:pPr>
            <w:r>
              <w:rPr>
                <w:sz w:val="19"/>
                <w:szCs w:val="19"/>
              </w:rPr>
              <w:t>Batterianlæg (BESS) og batterimoduler</w:t>
            </w:r>
          </w:p>
        </w:tc>
        <w:tc>
          <w:tcPr>
            <w:tcW w:w="6555" w:type="dxa"/>
            <w:tcMar>
              <w:top w:w="110" w:type="dxa"/>
              <w:left w:w="140" w:type="dxa"/>
              <w:bottom w:w="110" w:type="dxa"/>
              <w:right w:w="140" w:type="dxa"/>
            </w:tcMar>
          </w:tcPr>
          <w:p w14:paraId="7789B1C8" w14:textId="569B567D" w:rsidR="008315FB" w:rsidRDefault="00000000">
            <w:pPr>
              <w:spacing w:line="264" w:lineRule="auto"/>
            </w:pPr>
            <w:r>
              <w:rPr>
                <w:sz w:val="19"/>
                <w:szCs w:val="19"/>
              </w:rPr>
              <w:t>Produktgaranti fra producenten, typisk begrænset af enten et antal år, et antal cyklusser eller en garanteret restkapacitet — alt efter hvad der indtræffer først</w:t>
            </w:r>
            <w:r w:rsidR="00BB06F6">
              <w:rPr>
                <w:sz w:val="19"/>
                <w:szCs w:val="19"/>
              </w:rPr>
              <w:t xml:space="preserve">. </w:t>
            </w:r>
            <w:r w:rsidR="00BB06F6">
              <w:rPr>
                <w:sz w:val="19"/>
                <w:szCs w:val="19"/>
              </w:rPr>
              <w:t>Ofte betinget af serviceeftersyn efter producentens anvisning</w:t>
            </w:r>
          </w:p>
        </w:tc>
      </w:tr>
      <w:tr w:rsidR="008315FB" w14:paraId="7789B1CC" w14:textId="77777777">
        <w:tc>
          <w:tcPr>
            <w:tcW w:w="3084" w:type="dxa"/>
            <w:shd w:val="clear" w:color="auto" w:fill="F8F7F4"/>
            <w:tcMar>
              <w:top w:w="110" w:type="dxa"/>
              <w:left w:w="140" w:type="dxa"/>
              <w:bottom w:w="110" w:type="dxa"/>
              <w:right w:w="140" w:type="dxa"/>
            </w:tcMar>
          </w:tcPr>
          <w:p w14:paraId="7789B1CA" w14:textId="77777777" w:rsidR="008315FB" w:rsidRDefault="00000000">
            <w:pPr>
              <w:spacing w:line="264" w:lineRule="auto"/>
            </w:pPr>
            <w:r>
              <w:rPr>
                <w:sz w:val="19"/>
                <w:szCs w:val="19"/>
              </w:rPr>
              <w:t>Varmepumper</w:t>
            </w:r>
          </w:p>
        </w:tc>
        <w:tc>
          <w:tcPr>
            <w:tcW w:w="6555" w:type="dxa"/>
            <w:shd w:val="clear" w:color="auto" w:fill="F8F7F4"/>
            <w:tcMar>
              <w:top w:w="110" w:type="dxa"/>
              <w:left w:w="140" w:type="dxa"/>
              <w:bottom w:w="110" w:type="dxa"/>
              <w:right w:w="140" w:type="dxa"/>
            </w:tcMar>
          </w:tcPr>
          <w:p w14:paraId="7789B1CB" w14:textId="0588CDCE" w:rsidR="008315FB" w:rsidRDefault="00000000">
            <w:pPr>
              <w:spacing w:line="264" w:lineRule="auto"/>
            </w:pPr>
            <w:r>
              <w:rPr>
                <w:sz w:val="19"/>
                <w:szCs w:val="19"/>
              </w:rPr>
              <w:t>Produktgaranti fra producenten</w:t>
            </w:r>
            <w:r w:rsidR="00BB06F6">
              <w:rPr>
                <w:sz w:val="19"/>
                <w:szCs w:val="19"/>
              </w:rPr>
              <w:t xml:space="preserve">. </w:t>
            </w:r>
            <w:r w:rsidR="00BB06F6">
              <w:rPr>
                <w:sz w:val="19"/>
                <w:szCs w:val="19"/>
              </w:rPr>
              <w:t>Ofte betinget af serviceeftersyn efter producentens anvisning</w:t>
            </w:r>
          </w:p>
        </w:tc>
      </w:tr>
      <w:tr w:rsidR="008315FB" w14:paraId="7789B1CF" w14:textId="77777777">
        <w:tc>
          <w:tcPr>
            <w:tcW w:w="3084" w:type="dxa"/>
            <w:tcMar>
              <w:top w:w="110" w:type="dxa"/>
              <w:left w:w="140" w:type="dxa"/>
              <w:bottom w:w="110" w:type="dxa"/>
              <w:right w:w="140" w:type="dxa"/>
            </w:tcMar>
          </w:tcPr>
          <w:p w14:paraId="7789B1CD" w14:textId="77777777" w:rsidR="008315FB" w:rsidRDefault="00000000">
            <w:pPr>
              <w:spacing w:line="264" w:lineRule="auto"/>
            </w:pPr>
            <w:r>
              <w:rPr>
                <w:sz w:val="19"/>
                <w:szCs w:val="19"/>
              </w:rPr>
              <w:lastRenderedPageBreak/>
              <w:t>Montagesystem og beslag</w:t>
            </w:r>
          </w:p>
        </w:tc>
        <w:tc>
          <w:tcPr>
            <w:tcW w:w="6555" w:type="dxa"/>
            <w:tcMar>
              <w:top w:w="110" w:type="dxa"/>
              <w:left w:w="140" w:type="dxa"/>
              <w:bottom w:w="110" w:type="dxa"/>
              <w:right w:w="140" w:type="dxa"/>
            </w:tcMar>
          </w:tcPr>
          <w:p w14:paraId="7789B1CE" w14:textId="63B5B2CA" w:rsidR="008315FB" w:rsidRDefault="00000000">
            <w:pPr>
              <w:spacing w:line="264" w:lineRule="auto"/>
            </w:pPr>
            <w:r>
              <w:rPr>
                <w:sz w:val="19"/>
                <w:szCs w:val="19"/>
              </w:rPr>
              <w:t>Produktgaranti fra producenten, typisk med krav om korrekt dimensionering og montage</w:t>
            </w:r>
            <w:r w:rsidR="001E0BB8">
              <w:rPr>
                <w:sz w:val="19"/>
                <w:szCs w:val="19"/>
              </w:rPr>
              <w:t xml:space="preserve">. </w:t>
            </w:r>
            <w:r w:rsidR="001E0BB8">
              <w:rPr>
                <w:sz w:val="19"/>
                <w:szCs w:val="19"/>
              </w:rPr>
              <w:t>Ofte betinget af serviceeftersyn efter producentens anvisning</w:t>
            </w:r>
          </w:p>
        </w:tc>
      </w:tr>
      <w:tr w:rsidR="008315FB" w14:paraId="7789B1D2" w14:textId="77777777">
        <w:tc>
          <w:tcPr>
            <w:tcW w:w="3084" w:type="dxa"/>
            <w:shd w:val="clear" w:color="auto" w:fill="F8F7F4"/>
            <w:tcMar>
              <w:top w:w="110" w:type="dxa"/>
              <w:left w:w="140" w:type="dxa"/>
              <w:bottom w:w="110" w:type="dxa"/>
              <w:right w:w="140" w:type="dxa"/>
            </w:tcMar>
          </w:tcPr>
          <w:p w14:paraId="7789B1D0" w14:textId="77777777" w:rsidR="008315FB" w:rsidRDefault="00000000">
            <w:pPr>
              <w:spacing w:line="264" w:lineRule="auto"/>
            </w:pPr>
            <w:r>
              <w:rPr>
                <w:sz w:val="19"/>
                <w:szCs w:val="19"/>
              </w:rPr>
              <w:t>Tavler, kabler, målere og øvrigt elmateriel</w:t>
            </w:r>
          </w:p>
        </w:tc>
        <w:tc>
          <w:tcPr>
            <w:tcW w:w="6555" w:type="dxa"/>
            <w:shd w:val="clear" w:color="auto" w:fill="F8F7F4"/>
            <w:tcMar>
              <w:top w:w="110" w:type="dxa"/>
              <w:left w:w="140" w:type="dxa"/>
              <w:bottom w:w="110" w:type="dxa"/>
              <w:right w:w="140" w:type="dxa"/>
            </w:tcMar>
          </w:tcPr>
          <w:p w14:paraId="7789B1D1" w14:textId="56F2163C" w:rsidR="008315FB" w:rsidRDefault="00000000">
            <w:pPr>
              <w:spacing w:line="264" w:lineRule="auto"/>
            </w:pPr>
            <w:r>
              <w:rPr>
                <w:sz w:val="19"/>
                <w:szCs w:val="19"/>
              </w:rPr>
              <w:t>Produktgaranti fra producenten</w:t>
            </w:r>
            <w:r w:rsidR="001E0BB8">
              <w:rPr>
                <w:sz w:val="19"/>
                <w:szCs w:val="19"/>
              </w:rPr>
              <w:t xml:space="preserve">. </w:t>
            </w:r>
            <w:r w:rsidR="001E0BB8">
              <w:rPr>
                <w:sz w:val="19"/>
                <w:szCs w:val="19"/>
              </w:rPr>
              <w:t>Ofte betinget af serviceeftersyn efter producentens anvisning</w:t>
            </w:r>
          </w:p>
        </w:tc>
      </w:tr>
      <w:tr w:rsidR="008315FB" w14:paraId="7789B1D5" w14:textId="77777777">
        <w:tc>
          <w:tcPr>
            <w:tcW w:w="3084" w:type="dxa"/>
            <w:tcMar>
              <w:top w:w="110" w:type="dxa"/>
              <w:left w:w="140" w:type="dxa"/>
              <w:bottom w:w="110" w:type="dxa"/>
              <w:right w:w="140" w:type="dxa"/>
            </w:tcMar>
          </w:tcPr>
          <w:p w14:paraId="7789B1D3" w14:textId="77777777" w:rsidR="008315FB" w:rsidRDefault="00000000">
            <w:pPr>
              <w:spacing w:line="264" w:lineRule="auto"/>
            </w:pPr>
            <w:r>
              <w:rPr>
                <w:sz w:val="19"/>
                <w:szCs w:val="19"/>
              </w:rPr>
              <w:t>Styring, software og overvågningsportaler</w:t>
            </w:r>
          </w:p>
        </w:tc>
        <w:tc>
          <w:tcPr>
            <w:tcW w:w="6555" w:type="dxa"/>
            <w:tcMar>
              <w:top w:w="110" w:type="dxa"/>
              <w:left w:w="140" w:type="dxa"/>
              <w:bottom w:w="110" w:type="dxa"/>
              <w:right w:w="140" w:type="dxa"/>
            </w:tcMar>
          </w:tcPr>
          <w:p w14:paraId="7789B1D4" w14:textId="70EF7CC6" w:rsidR="008315FB" w:rsidRDefault="00000000">
            <w:pPr>
              <w:spacing w:line="264" w:lineRule="auto"/>
            </w:pPr>
            <w:r>
              <w:rPr>
                <w:sz w:val="19"/>
                <w:szCs w:val="19"/>
              </w:rPr>
              <w:t>Leveres på tredjepartens licens- og servicevilkår</w:t>
            </w:r>
            <w:r w:rsidR="001E0BB8">
              <w:rPr>
                <w:sz w:val="19"/>
                <w:szCs w:val="19"/>
              </w:rPr>
              <w:t xml:space="preserve">. </w:t>
            </w:r>
            <w:r w:rsidR="001E0BB8">
              <w:rPr>
                <w:sz w:val="19"/>
                <w:szCs w:val="19"/>
              </w:rPr>
              <w:t>Ofte betinget af serviceeftersyn efter producentens anvisning</w:t>
            </w:r>
          </w:p>
        </w:tc>
      </w:tr>
    </w:tbl>
    <w:p w14:paraId="7789B1D6" w14:textId="77777777" w:rsidR="008315FB" w:rsidRDefault="008315FB">
      <w:pPr>
        <w:spacing w:after="190"/>
      </w:pPr>
    </w:p>
    <w:p w14:paraId="7789B1D7" w14:textId="77777777" w:rsidR="008315FB" w:rsidRDefault="00000000">
      <w:pPr>
        <w:tabs>
          <w:tab w:val="left" w:pos="700"/>
        </w:tabs>
        <w:spacing w:after="150" w:line="288" w:lineRule="auto"/>
        <w:ind w:left="700" w:hanging="700"/>
      </w:pPr>
      <w:r>
        <w:rPr>
          <w:b/>
          <w:bCs/>
          <w:color w:val="C8890A"/>
        </w:rPr>
        <w:t>3.3</w:t>
      </w:r>
      <w:r>
        <w:tab/>
        <w:t>Fanwave påtager sig ikke forpligtelser ud over producentens garanti og hæfter ikke for, at producenten opfylder sin garanti, herunder hvis producenten ophører eller går konkurs. Fanwave bistår dig med at anmelde og forfølge garantikravet over for producenten.</w:t>
      </w:r>
    </w:p>
    <w:p w14:paraId="7789B1D8" w14:textId="77777777" w:rsidR="008315FB" w:rsidRDefault="00000000">
      <w:pPr>
        <w:tabs>
          <w:tab w:val="left" w:pos="700"/>
        </w:tabs>
        <w:spacing w:after="150" w:line="288" w:lineRule="auto"/>
        <w:ind w:left="700" w:hanging="700"/>
      </w:pPr>
      <w:r>
        <w:rPr>
          <w:b/>
          <w:bCs/>
          <w:color w:val="C8890A"/>
        </w:rPr>
        <w:t>3.4</w:t>
      </w:r>
      <w:r>
        <w:tab/>
        <w:t>Producentgarantier dækker som udgangspunkt kun selve komponenten. Omkostninger til demontage, montage, kørsel, kran, lift, stillads og eventuel nedlukning af anlægget er ikke altid omfattet af producentens garanti. Er sådanne omkostninger ikke dækket af producenten, er de omfattet af Fanwaves garanti på udført arbejde i garantiperioden efter afsnit 2, og herefter afregnes de efter medgået tid og gældende takster.</w:t>
      </w:r>
    </w:p>
    <w:p w14:paraId="7789B1D9" w14:textId="77777777" w:rsidR="008315FB" w:rsidRDefault="00000000">
      <w:pPr>
        <w:pStyle w:val="Overskrift1"/>
        <w:keepNext/>
        <w:pBdr>
          <w:bottom w:val="single" w:sz="8" w:space="6" w:color="C8890A"/>
        </w:pBdr>
        <w:tabs>
          <w:tab w:val="right" w:pos="9639"/>
        </w:tabs>
        <w:spacing w:before="360" w:after="180"/>
      </w:pPr>
      <w:r>
        <w:rPr>
          <w:color w:val="C8890A"/>
        </w:rPr>
        <w:t xml:space="preserve">4. </w:t>
      </w:r>
      <w:r>
        <w:t>Hvad garantien ikke dækker</w:t>
      </w:r>
    </w:p>
    <w:p w14:paraId="7789B1DA" w14:textId="77777777" w:rsidR="008315FB" w:rsidRDefault="00000000">
      <w:pPr>
        <w:pStyle w:val="Listeafsnit"/>
        <w:numPr>
          <w:ilvl w:val="0"/>
          <w:numId w:val="2"/>
        </w:numPr>
        <w:spacing w:after="120" w:line="288" w:lineRule="auto"/>
      </w:pPr>
      <w:r>
        <w:t>Normal slitage, ældning og forventelig degradering af batterier og solcellemoduler inden for producentens angivne kurve.</w:t>
      </w:r>
    </w:p>
    <w:p w14:paraId="7789B1DB" w14:textId="77777777" w:rsidR="008315FB" w:rsidRDefault="00000000">
      <w:pPr>
        <w:pStyle w:val="Listeafsnit"/>
        <w:numPr>
          <w:ilvl w:val="0"/>
          <w:numId w:val="2"/>
        </w:numPr>
        <w:spacing w:after="120" w:line="288" w:lineRule="auto"/>
      </w:pPr>
      <w:r>
        <w:t>Manglende, mangelfuld eller for sent udført vedligeholdelse og service.</w:t>
      </w:r>
    </w:p>
    <w:p w14:paraId="7789B1DC" w14:textId="77777777" w:rsidR="008315FB" w:rsidRDefault="00000000">
      <w:pPr>
        <w:pStyle w:val="Listeafsnit"/>
        <w:numPr>
          <w:ilvl w:val="0"/>
          <w:numId w:val="2"/>
        </w:numPr>
        <w:spacing w:after="120" w:line="288" w:lineRule="auto"/>
      </w:pPr>
      <w:r>
        <w:t>Tilsmudsning, algevækst, fugleklatter, sod, salt og andet belægning på moduler, som fjernes ved almindelig rengøring.</w:t>
      </w:r>
    </w:p>
    <w:p w14:paraId="7789B1DD" w14:textId="77777777" w:rsidR="008315FB" w:rsidRDefault="00000000">
      <w:pPr>
        <w:pStyle w:val="Listeafsnit"/>
        <w:numPr>
          <w:ilvl w:val="0"/>
          <w:numId w:val="2"/>
        </w:numPr>
        <w:spacing w:after="120" w:line="288" w:lineRule="auto"/>
      </w:pPr>
      <w:r>
        <w:t>Skader forårsaget af lynnedslag, overspænding, spændingsudfald, brand, storm, hagl, sne, oversvømmelse, jordskælv og anden ydre påvirkning.</w:t>
      </w:r>
    </w:p>
    <w:p w14:paraId="7789B1DE" w14:textId="77777777" w:rsidR="008315FB" w:rsidRDefault="00000000">
      <w:pPr>
        <w:pStyle w:val="Listeafsnit"/>
        <w:numPr>
          <w:ilvl w:val="0"/>
          <w:numId w:val="2"/>
        </w:numPr>
        <w:spacing w:after="120" w:line="288" w:lineRule="auto"/>
      </w:pPr>
      <w:r>
        <w:t>Skader forårsaget af hærværk, tyveri, skadedyr, byggearbejde udført af andre eller uforsvarlig brug og overbelastning.</w:t>
      </w:r>
    </w:p>
    <w:p w14:paraId="7789B1DF" w14:textId="77777777" w:rsidR="008315FB" w:rsidRDefault="00000000">
      <w:pPr>
        <w:pStyle w:val="Listeafsnit"/>
        <w:numPr>
          <w:ilvl w:val="0"/>
          <w:numId w:val="2"/>
        </w:numPr>
        <w:spacing w:after="120" w:line="288" w:lineRule="auto"/>
      </w:pPr>
      <w:r>
        <w:t>Fejl som følge af ændringer i elnettet, i netselskabets krav, i afregningsforhold eller i tredjeparts software, portaler og API'er.</w:t>
      </w:r>
    </w:p>
    <w:p w14:paraId="7789B1E0" w14:textId="77777777" w:rsidR="008315FB" w:rsidRDefault="00000000">
      <w:pPr>
        <w:pStyle w:val="Listeafsnit"/>
        <w:numPr>
          <w:ilvl w:val="0"/>
          <w:numId w:val="2"/>
        </w:numPr>
        <w:spacing w:after="120" w:line="288" w:lineRule="auto"/>
      </w:pPr>
      <w:r>
        <w:t>Indgreb, reparationer, udvidelser eller tilkoblinger foretaget af andre end Fanwave uden skriftlig accept.</w:t>
      </w:r>
    </w:p>
    <w:p w14:paraId="7789B1E1" w14:textId="77777777" w:rsidR="008315FB" w:rsidRDefault="00000000">
      <w:pPr>
        <w:pStyle w:val="Listeafsnit"/>
        <w:numPr>
          <w:ilvl w:val="0"/>
          <w:numId w:val="2"/>
        </w:numPr>
        <w:spacing w:after="120" w:line="288" w:lineRule="auto"/>
      </w:pPr>
      <w:r>
        <w:t>Driftstab, tabt produktion, tabt fortjeneste og andet indirekte tab, jf. handelsbetingelsernes afsnit 18. Over for forbrugere gælder dansk rets almindelige erstatningsregler.</w:t>
      </w:r>
    </w:p>
    <w:p w14:paraId="7789B1E2" w14:textId="77777777" w:rsidR="008315FB" w:rsidRDefault="00000000">
      <w:pPr>
        <w:pStyle w:val="Listeafsnit"/>
        <w:numPr>
          <w:ilvl w:val="0"/>
          <w:numId w:val="2"/>
        </w:numPr>
        <w:spacing w:after="120" w:line="288" w:lineRule="auto"/>
      </w:pPr>
      <w:r>
        <w:t>Kosmetiske forhold uden betydning for funktion og levetid, herunder farveforskelle mellem produktionsserier.</w:t>
      </w:r>
    </w:p>
    <w:p w14:paraId="7789B1E3" w14:textId="77777777" w:rsidR="008315FB" w:rsidRDefault="008315FB">
      <w:pPr>
        <w:spacing w:after="80"/>
      </w:pPr>
    </w:p>
    <w:p w14:paraId="7789B1E4" w14:textId="77777777" w:rsidR="008315FB" w:rsidRDefault="00000000">
      <w:pPr>
        <w:pStyle w:val="Overskrift1"/>
        <w:keepNext/>
        <w:pBdr>
          <w:bottom w:val="single" w:sz="8" w:space="6" w:color="C8890A"/>
        </w:pBdr>
        <w:tabs>
          <w:tab w:val="right" w:pos="9639"/>
        </w:tabs>
        <w:spacing w:before="360" w:after="180"/>
      </w:pPr>
      <w:r>
        <w:rPr>
          <w:color w:val="C8890A"/>
        </w:rPr>
        <w:t xml:space="preserve">5. </w:t>
      </w:r>
      <w:r>
        <w:t>Forudsætninger for at garantien gælder</w:t>
      </w:r>
    </w:p>
    <w:p w14:paraId="7789B1E5" w14:textId="77777777" w:rsidR="008315FB" w:rsidRDefault="00000000">
      <w:pPr>
        <w:tabs>
          <w:tab w:val="left" w:pos="700"/>
        </w:tabs>
        <w:spacing w:after="150" w:line="288" w:lineRule="auto"/>
        <w:ind w:left="700" w:hanging="700"/>
      </w:pPr>
      <w:r>
        <w:rPr>
          <w:b/>
          <w:bCs/>
          <w:color w:val="C8890A"/>
        </w:rPr>
        <w:t>5.1</w:t>
      </w:r>
      <w:r>
        <w:tab/>
        <w:t>Anlægget skal være fuldt betalt i overensstemmelse med den aftalte betalingsplan.</w:t>
      </w:r>
    </w:p>
    <w:p w14:paraId="7789B1E6" w14:textId="1408E78E" w:rsidR="008315FB" w:rsidRDefault="00000000">
      <w:pPr>
        <w:tabs>
          <w:tab w:val="left" w:pos="700"/>
        </w:tabs>
        <w:spacing w:after="150" w:line="288" w:lineRule="auto"/>
        <w:ind w:left="700" w:hanging="700"/>
      </w:pPr>
      <w:r>
        <w:rPr>
          <w:b/>
          <w:bCs/>
          <w:color w:val="C8890A"/>
        </w:rPr>
        <w:lastRenderedPageBreak/>
        <w:t>5.2</w:t>
      </w:r>
      <w:r>
        <w:tab/>
        <w:t xml:space="preserve">Anlægget skal drives og vedligeholdes efter producentens anvisninger, og foreskrevne eftersyn skal gennemføres til tiden. </w:t>
      </w:r>
    </w:p>
    <w:p w14:paraId="7789B1E7" w14:textId="5831433F" w:rsidR="008315FB" w:rsidRDefault="00000000">
      <w:pPr>
        <w:tabs>
          <w:tab w:val="left" w:pos="700"/>
        </w:tabs>
        <w:spacing w:after="150" w:line="288" w:lineRule="auto"/>
        <w:ind w:left="700" w:hanging="700"/>
      </w:pPr>
      <w:r>
        <w:rPr>
          <w:b/>
          <w:bCs/>
          <w:color w:val="C8890A"/>
        </w:rPr>
        <w:t>5.3</w:t>
      </w:r>
      <w:r>
        <w:tab/>
        <w:t xml:space="preserve">Ved anlæg med overvågning skal </w:t>
      </w:r>
      <w:r w:rsidR="00C51B6C">
        <w:t>k</w:t>
      </w:r>
      <w:r>
        <w:t>unden opretholde stabil internetforbindelse og strømforsyning til kommunikationsudstyret</w:t>
      </w:r>
      <w:r w:rsidR="00B43350">
        <w:t>.</w:t>
      </w:r>
      <w:r>
        <w:t xml:space="preserve"> </w:t>
      </w:r>
    </w:p>
    <w:p w14:paraId="7789B1E8" w14:textId="77777777" w:rsidR="008315FB" w:rsidRDefault="00000000">
      <w:pPr>
        <w:tabs>
          <w:tab w:val="left" w:pos="700"/>
        </w:tabs>
        <w:spacing w:after="150" w:line="288" w:lineRule="auto"/>
        <w:ind w:left="700" w:hanging="700"/>
      </w:pPr>
      <w:r>
        <w:rPr>
          <w:b/>
          <w:bCs/>
          <w:color w:val="C8890A"/>
        </w:rPr>
        <w:t>5.4</w:t>
      </w:r>
      <w:r>
        <w:tab/>
        <w:t>Kunden skal gemme ordrebekræftelse, faktura, afleveringsprotokol og garantibeviser og fremvise dem ved anmeldelse af et garantikrav.</w:t>
      </w:r>
    </w:p>
    <w:p w14:paraId="7789B1E9" w14:textId="77777777" w:rsidR="008315FB" w:rsidRDefault="00000000">
      <w:pPr>
        <w:pStyle w:val="Overskrift1"/>
        <w:keepNext/>
        <w:pBdr>
          <w:bottom w:val="single" w:sz="8" w:space="6" w:color="C8890A"/>
        </w:pBdr>
        <w:tabs>
          <w:tab w:val="right" w:pos="9639"/>
        </w:tabs>
        <w:spacing w:before="360" w:after="180"/>
      </w:pPr>
      <w:r>
        <w:rPr>
          <w:color w:val="C8890A"/>
        </w:rPr>
        <w:t xml:space="preserve">6. </w:t>
      </w:r>
      <w:r>
        <w:t>Sådan gør du garanti eller reklamation gældende</w:t>
      </w:r>
    </w:p>
    <w:p w14:paraId="7789B1EA" w14:textId="00E23D80" w:rsidR="008315FB" w:rsidRDefault="00000000">
      <w:pPr>
        <w:tabs>
          <w:tab w:val="left" w:pos="700"/>
        </w:tabs>
        <w:spacing w:after="150" w:line="288" w:lineRule="auto"/>
        <w:ind w:left="700" w:hanging="700"/>
      </w:pPr>
      <w:r>
        <w:rPr>
          <w:b/>
          <w:bCs/>
          <w:color w:val="C8890A"/>
        </w:rPr>
        <w:t>6.1</w:t>
      </w:r>
      <w:r>
        <w:tab/>
        <w:t xml:space="preserve">Kontakt Fanwave hurtigst muligt, efter at du har opdaget fejlen, på </w:t>
      </w:r>
      <w:hyperlink r:id="rId7" w:history="1">
        <w:r w:rsidR="00D02FD3" w:rsidRPr="001F7A3B">
          <w:rPr>
            <w:rStyle w:val="Hyperlink"/>
          </w:rPr>
          <w:t>info@fanwave.dk</w:t>
        </w:r>
      </w:hyperlink>
      <w:r w:rsidR="00D02FD3">
        <w:t xml:space="preserve">. </w:t>
      </w:r>
    </w:p>
    <w:p w14:paraId="7789B1EB" w14:textId="4424EA66" w:rsidR="008315FB" w:rsidRDefault="00000000">
      <w:pPr>
        <w:tabs>
          <w:tab w:val="left" w:pos="700"/>
        </w:tabs>
        <w:spacing w:after="150" w:line="288" w:lineRule="auto"/>
        <w:ind w:left="700" w:hanging="700"/>
      </w:pPr>
      <w:r>
        <w:rPr>
          <w:b/>
          <w:bCs/>
          <w:color w:val="C8890A"/>
        </w:rPr>
        <w:t>6.2</w:t>
      </w:r>
      <w:r>
        <w:tab/>
        <w:t xml:space="preserve">Oplys ved henvendelsen: anlæggets adresse, ordrenummer eller fakturanummer, en beskrivelse af fejlen, hvornår den opstod, </w:t>
      </w:r>
      <w:r w:rsidR="00AF6353">
        <w:t>inkl.</w:t>
      </w:r>
      <w:r>
        <w:t xml:space="preserve"> fotos, fejlkoder og skærmbilleder fra overvågningsportalen.</w:t>
      </w:r>
    </w:p>
    <w:p w14:paraId="7789B1EC" w14:textId="67A6EE00" w:rsidR="008315FB" w:rsidRDefault="00000000">
      <w:pPr>
        <w:tabs>
          <w:tab w:val="left" w:pos="700"/>
        </w:tabs>
        <w:spacing w:after="150" w:line="288" w:lineRule="auto"/>
        <w:ind w:left="700" w:hanging="700"/>
      </w:pPr>
      <w:r>
        <w:rPr>
          <w:b/>
          <w:bCs/>
          <w:color w:val="C8890A"/>
        </w:rPr>
        <w:t>6.3</w:t>
      </w:r>
      <w:r>
        <w:tab/>
        <w:t>Fanwave vurderer henvendelsen og aftaler enten fjernfejlsøgning eller besøg på adressen</w:t>
      </w:r>
      <w:r w:rsidR="009C1E62">
        <w:t>.</w:t>
      </w:r>
    </w:p>
    <w:p w14:paraId="7789B1ED" w14:textId="43C4DC02" w:rsidR="008315FB" w:rsidRDefault="00000000">
      <w:pPr>
        <w:tabs>
          <w:tab w:val="left" w:pos="700"/>
        </w:tabs>
        <w:spacing w:after="150" w:line="288" w:lineRule="auto"/>
        <w:ind w:left="700" w:hanging="700"/>
      </w:pPr>
      <w:r>
        <w:rPr>
          <w:b/>
          <w:bCs/>
          <w:color w:val="C8890A"/>
        </w:rPr>
        <w:t>6.4</w:t>
      </w:r>
      <w:r>
        <w:tab/>
        <w:t>Du må ikke lade tredjemand udbedre fejlen for Fanwaves</w:t>
      </w:r>
      <w:r w:rsidR="00464C8B">
        <w:t>/producentens</w:t>
      </w:r>
      <w:r>
        <w:t xml:space="preserve"> regning uden forudgående skriftlig</w:t>
      </w:r>
      <w:r w:rsidR="00A22C89">
        <w:t xml:space="preserve"> aftale </w:t>
      </w:r>
      <w:r w:rsidR="00BD61F0">
        <w:t>med</w:t>
      </w:r>
      <w:r>
        <w:t xml:space="preserve"> Fanwave</w:t>
      </w:r>
      <w:r w:rsidR="00BD61F0">
        <w:t>.</w:t>
      </w:r>
    </w:p>
    <w:p w14:paraId="7789B1EE" w14:textId="77777777" w:rsidR="008315FB" w:rsidRDefault="00000000">
      <w:pPr>
        <w:tabs>
          <w:tab w:val="left" w:pos="700"/>
        </w:tabs>
        <w:spacing w:after="150" w:line="288" w:lineRule="auto"/>
        <w:ind w:left="700" w:hanging="700"/>
      </w:pPr>
      <w:r>
        <w:rPr>
          <w:b/>
          <w:bCs/>
          <w:color w:val="C8890A"/>
        </w:rPr>
        <w:t>6.5</w:t>
      </w:r>
      <w:r>
        <w:tab/>
        <w:t>Viser det sig ved undersøgelsen, at fejlen ikke er omfattet af garantien eller reklamationsretten, faktureres fejlsøgning, kørsel og eventuel udbedring efter medgået tid og gældende takster. Fanwave oplyser om dette, inden arbejdet igangsættes, hvis det er muligt.</w:t>
      </w:r>
    </w:p>
    <w:p w14:paraId="7789B1EF" w14:textId="77777777" w:rsidR="008315FB" w:rsidRDefault="00000000">
      <w:pPr>
        <w:pStyle w:val="Overskrift1"/>
        <w:keepNext/>
        <w:pBdr>
          <w:bottom w:val="single" w:sz="8" w:space="6" w:color="C8890A"/>
        </w:pBdr>
        <w:tabs>
          <w:tab w:val="right" w:pos="9639"/>
        </w:tabs>
        <w:spacing w:before="360" w:after="180"/>
      </w:pPr>
      <w:r>
        <w:rPr>
          <w:color w:val="C8890A"/>
        </w:rPr>
        <w:t xml:space="preserve">7. </w:t>
      </w:r>
      <w:r>
        <w:t>Ejerskifte og overdragelse</w:t>
      </w:r>
    </w:p>
    <w:p w14:paraId="7789B1F0" w14:textId="77777777" w:rsidR="008315FB" w:rsidRDefault="00000000">
      <w:pPr>
        <w:tabs>
          <w:tab w:val="left" w:pos="700"/>
        </w:tabs>
        <w:spacing w:after="150" w:line="288" w:lineRule="auto"/>
        <w:ind w:left="700" w:hanging="700"/>
      </w:pPr>
      <w:r>
        <w:rPr>
          <w:b/>
          <w:bCs/>
          <w:color w:val="C8890A"/>
        </w:rPr>
        <w:t>7.1</w:t>
      </w:r>
      <w:r>
        <w:tab/>
        <w:t>Fanwaves garanti på udført arbejde følger anlægget og kan overdrages til en ny ejer af ejendommen inden for den resterende garantiperiode. Overdragelsen skal meddeles Fanwave skriftligt med oplysning om ny ejer og overtagelsesdato.</w:t>
      </w:r>
    </w:p>
    <w:p w14:paraId="7789B1F1" w14:textId="77777777" w:rsidR="008315FB" w:rsidRDefault="00000000">
      <w:pPr>
        <w:tabs>
          <w:tab w:val="left" w:pos="700"/>
        </w:tabs>
        <w:spacing w:after="150" w:line="288" w:lineRule="auto"/>
        <w:ind w:left="700" w:hanging="700"/>
      </w:pPr>
      <w:r>
        <w:rPr>
          <w:b/>
          <w:bCs/>
          <w:color w:val="C8890A"/>
        </w:rPr>
        <w:t>7.2</w:t>
      </w:r>
      <w:r>
        <w:tab/>
        <w:t>Producentgarantier overdrages på producentens vilkår. Nogle producenter kræver særskilt registrering af ejerskiftet, og Fanwave oplyser om dette ved henvendelse.</w:t>
      </w:r>
    </w:p>
    <w:p w14:paraId="7789B1F2" w14:textId="77777777" w:rsidR="008315FB" w:rsidRDefault="00000000">
      <w:pPr>
        <w:tabs>
          <w:tab w:val="left" w:pos="700"/>
        </w:tabs>
        <w:spacing w:after="150" w:line="288" w:lineRule="auto"/>
        <w:ind w:left="700" w:hanging="700"/>
      </w:pPr>
      <w:r>
        <w:rPr>
          <w:b/>
          <w:bCs/>
          <w:color w:val="C8890A"/>
        </w:rPr>
        <w:t>7.3</w:t>
      </w:r>
      <w:r>
        <w:tab/>
        <w:t>En serviceaftale følger ikke automatisk med ved ejerskifte. Den nye ejer kan indgå en ny serviceaftale med Fanwave.</w:t>
      </w:r>
    </w:p>
    <w:p w14:paraId="7789B1F3" w14:textId="77777777" w:rsidR="008315FB" w:rsidRDefault="00000000">
      <w:pPr>
        <w:pStyle w:val="Overskrift1"/>
        <w:keepNext/>
        <w:pBdr>
          <w:bottom w:val="single" w:sz="8" w:space="6" w:color="C8890A"/>
        </w:pBdr>
        <w:tabs>
          <w:tab w:val="right" w:pos="9639"/>
        </w:tabs>
        <w:spacing w:before="360" w:after="180"/>
      </w:pPr>
      <w:r>
        <w:rPr>
          <w:color w:val="C8890A"/>
        </w:rPr>
        <w:t xml:space="preserve">8. </w:t>
      </w:r>
      <w:r>
        <w:t>Klage</w:t>
      </w:r>
    </w:p>
    <w:p w14:paraId="7789B1F4" w14:textId="77777777" w:rsidR="008315FB" w:rsidRDefault="00000000">
      <w:pPr>
        <w:tabs>
          <w:tab w:val="left" w:pos="700"/>
        </w:tabs>
        <w:spacing w:after="150" w:line="288" w:lineRule="auto"/>
        <w:ind w:left="700" w:hanging="700"/>
      </w:pPr>
      <w:r>
        <w:rPr>
          <w:b/>
          <w:bCs/>
          <w:color w:val="C8890A"/>
        </w:rPr>
        <w:t>8.1</w:t>
      </w:r>
      <w:r>
        <w:tab/>
        <w:t>Er du utilfreds med Fanwaves håndtering af en garanti- eller reklamationssag, bør du først kontakte os på info@fanwave.dk, så vi kan søge at løse sagen.</w:t>
      </w:r>
    </w:p>
    <w:p w14:paraId="7789B1F5" w14:textId="77777777" w:rsidR="008315FB" w:rsidRDefault="00000000">
      <w:pPr>
        <w:tabs>
          <w:tab w:val="left" w:pos="700"/>
        </w:tabs>
        <w:spacing w:after="150" w:line="288" w:lineRule="auto"/>
        <w:ind w:left="700" w:hanging="700"/>
      </w:pPr>
      <w:r>
        <w:rPr>
          <w:b/>
          <w:bCs/>
          <w:color w:val="C8890A"/>
        </w:rPr>
        <w:t>8.2</w:t>
      </w:r>
      <w:r>
        <w:tab/>
        <w:t>Er du privat forbruger, kan du indbringe en klage over håndværksarbejde for Byggeriets Ankenævn, byggerietsankenaevn.dk. Øvrige forbrugerklager kan indbringes for Nævnenes Hus, Center for Klageløsning, Toldboden 2, 8800 Viborg, naevneneshus.dk.</w:t>
      </w:r>
    </w:p>
    <w:p w14:paraId="7789B1F6" w14:textId="77777777" w:rsidR="008315FB" w:rsidRDefault="00000000">
      <w:pPr>
        <w:tabs>
          <w:tab w:val="left" w:pos="700"/>
        </w:tabs>
        <w:spacing w:after="150" w:line="288" w:lineRule="auto"/>
        <w:ind w:left="700" w:hanging="700"/>
      </w:pPr>
      <w:r>
        <w:rPr>
          <w:b/>
          <w:bCs/>
          <w:color w:val="C8890A"/>
        </w:rPr>
        <w:t>8.3</w:t>
      </w:r>
      <w:r>
        <w:tab/>
        <w:t>Er du erhvervskunde, afgøres tvister om bygge- og anlægsarbejder ved Voldgiftsnævnet for Byggeri og Anlæg, og øvrige tvister ved Retten i Holstebro, jf. handelsbetingelsernes afsnit 24. Ankenævnene behandler ikke sager mellem erhvervsdrivende.</w:t>
      </w:r>
    </w:p>
    <w:sectPr w:rsidR="008315FB">
      <w:footerReference w:type="default" r:id="rId8"/>
      <w:pgSz w:w="11905" w:h="16837"/>
      <w:pgMar w:top="1133" w:right="1133" w:bottom="1020" w:left="113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59597" w14:textId="77777777" w:rsidR="009C7E0D" w:rsidRDefault="009C7E0D">
      <w:r>
        <w:separator/>
      </w:r>
    </w:p>
  </w:endnote>
  <w:endnote w:type="continuationSeparator" w:id="0">
    <w:p w14:paraId="6D0F0257" w14:textId="77777777" w:rsidR="009C7E0D" w:rsidRDefault="009C7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B1F7" w14:textId="0EE516F7" w:rsidR="008315FB" w:rsidRDefault="00000000">
    <w:pPr>
      <w:pBdr>
        <w:top w:val="single" w:sz="4" w:space="6" w:color="DCDCDC"/>
      </w:pBdr>
      <w:tabs>
        <w:tab w:val="right" w:pos="9639"/>
      </w:tabs>
    </w:pPr>
    <w:r>
      <w:rPr>
        <w:color w:val="5C6873"/>
        <w:sz w:val="16"/>
        <w:szCs w:val="16"/>
      </w:rPr>
      <w:t>Fanwave ApS · CVR 45976599 · Garantibetingelser v1.1</w:t>
    </w:r>
    <w:r>
      <w:tab/>
    </w:r>
    <w:r>
      <w:rPr>
        <w:color w:val="5C6873"/>
        <w:sz w:val="16"/>
        <w:szCs w:val="16"/>
      </w:rPr>
      <w:t xml:space="preserve">Side </w:t>
    </w:r>
    <w:r>
      <w:rPr>
        <w:color w:val="5C6873"/>
        <w:sz w:val="16"/>
        <w:szCs w:val="16"/>
      </w:rPr>
      <w:fldChar w:fldCharType="begin"/>
    </w:r>
    <w:r>
      <w:rPr>
        <w:color w:val="5C6873"/>
        <w:sz w:val="16"/>
        <w:szCs w:val="16"/>
      </w:rPr>
      <w:instrText>PAGE</w:instrText>
    </w:r>
    <w:r>
      <w:rPr>
        <w:color w:val="5C6873"/>
        <w:sz w:val="16"/>
        <w:szCs w:val="16"/>
      </w:rPr>
      <w:fldChar w:fldCharType="separate"/>
    </w:r>
    <w:r w:rsidR="004805BC">
      <w:rPr>
        <w:noProof/>
        <w:color w:val="5C6873"/>
        <w:sz w:val="16"/>
        <w:szCs w:val="16"/>
      </w:rPr>
      <w:t>1</w:t>
    </w:r>
    <w:r>
      <w:rPr>
        <w:color w:val="5C6873"/>
        <w:sz w:val="16"/>
        <w:szCs w:val="16"/>
      </w:rPr>
      <w:fldChar w:fldCharType="end"/>
    </w:r>
    <w:r>
      <w:rPr>
        <w:color w:val="5C6873"/>
        <w:sz w:val="16"/>
        <w:szCs w:val="16"/>
      </w:rPr>
      <w:t xml:space="preserve"> af </w:t>
    </w:r>
    <w:r>
      <w:rPr>
        <w:color w:val="5C6873"/>
        <w:sz w:val="16"/>
        <w:szCs w:val="16"/>
      </w:rPr>
      <w:fldChar w:fldCharType="begin"/>
    </w:r>
    <w:r>
      <w:rPr>
        <w:color w:val="5C6873"/>
        <w:sz w:val="16"/>
        <w:szCs w:val="16"/>
      </w:rPr>
      <w:instrText>NUMPAGES</w:instrText>
    </w:r>
    <w:r>
      <w:rPr>
        <w:color w:val="5C6873"/>
        <w:sz w:val="16"/>
        <w:szCs w:val="16"/>
      </w:rPr>
      <w:fldChar w:fldCharType="separate"/>
    </w:r>
    <w:r w:rsidR="004805BC">
      <w:rPr>
        <w:noProof/>
        <w:color w:val="5C6873"/>
        <w:sz w:val="16"/>
        <w:szCs w:val="16"/>
      </w:rPr>
      <w:t>2</w:t>
    </w:r>
    <w:r>
      <w:rPr>
        <w:color w:val="5C6873"/>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0E7B1" w14:textId="77777777" w:rsidR="009C7E0D" w:rsidRDefault="009C7E0D">
      <w:r>
        <w:separator/>
      </w:r>
    </w:p>
  </w:footnote>
  <w:footnote w:type="continuationSeparator" w:id="0">
    <w:p w14:paraId="1EFA45EF" w14:textId="77777777" w:rsidR="009C7E0D" w:rsidRDefault="009C7E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076B05"/>
    <w:multiLevelType w:val="hybridMultilevel"/>
    <w:tmpl w:val="CA1640B4"/>
    <w:lvl w:ilvl="0" w:tplc="942E4588">
      <w:start w:val="1"/>
      <w:numFmt w:val="bullet"/>
      <w:lvlText w:val="•"/>
      <w:lvlJc w:val="left"/>
      <w:pPr>
        <w:ind w:left="700" w:hanging="280"/>
      </w:pPr>
      <w:rPr>
        <w:rFonts w:ascii="Calibri" w:eastAsia="Calibri" w:hAnsi="Calibri" w:cs="Calibri"/>
        <w:color w:val="C8890A"/>
      </w:rPr>
    </w:lvl>
    <w:lvl w:ilvl="1" w:tplc="00F88582">
      <w:numFmt w:val="decimal"/>
      <w:lvlText w:val=""/>
      <w:lvlJc w:val="left"/>
    </w:lvl>
    <w:lvl w:ilvl="2" w:tplc="5EA6971C">
      <w:numFmt w:val="decimal"/>
      <w:lvlText w:val=""/>
      <w:lvlJc w:val="left"/>
    </w:lvl>
    <w:lvl w:ilvl="3" w:tplc="9BEA0470">
      <w:numFmt w:val="decimal"/>
      <w:lvlText w:val=""/>
      <w:lvlJc w:val="left"/>
    </w:lvl>
    <w:lvl w:ilvl="4" w:tplc="AB684794">
      <w:numFmt w:val="decimal"/>
      <w:lvlText w:val=""/>
      <w:lvlJc w:val="left"/>
    </w:lvl>
    <w:lvl w:ilvl="5" w:tplc="679AE460">
      <w:numFmt w:val="decimal"/>
      <w:lvlText w:val=""/>
      <w:lvlJc w:val="left"/>
    </w:lvl>
    <w:lvl w:ilvl="6" w:tplc="CC7E9E16">
      <w:numFmt w:val="decimal"/>
      <w:lvlText w:val=""/>
      <w:lvlJc w:val="left"/>
    </w:lvl>
    <w:lvl w:ilvl="7" w:tplc="27CC2E8C">
      <w:numFmt w:val="decimal"/>
      <w:lvlText w:val=""/>
      <w:lvlJc w:val="left"/>
    </w:lvl>
    <w:lvl w:ilvl="8" w:tplc="17D82F26">
      <w:numFmt w:val="decimal"/>
      <w:lvlText w:val=""/>
      <w:lvlJc w:val="left"/>
    </w:lvl>
  </w:abstractNum>
  <w:abstractNum w:abstractNumId="1" w15:restartNumberingAfterBreak="0">
    <w:nsid w:val="786B646B"/>
    <w:multiLevelType w:val="hybridMultilevel"/>
    <w:tmpl w:val="61D6B65A"/>
    <w:lvl w:ilvl="0" w:tplc="270EAD34">
      <w:start w:val="1"/>
      <w:numFmt w:val="bullet"/>
      <w:lvlText w:val="●"/>
      <w:lvlJc w:val="left"/>
      <w:pPr>
        <w:ind w:left="720" w:hanging="360"/>
      </w:pPr>
    </w:lvl>
    <w:lvl w:ilvl="1" w:tplc="4D22792E">
      <w:start w:val="1"/>
      <w:numFmt w:val="bullet"/>
      <w:lvlText w:val="○"/>
      <w:lvlJc w:val="left"/>
      <w:pPr>
        <w:ind w:left="1440" w:hanging="360"/>
      </w:pPr>
    </w:lvl>
    <w:lvl w:ilvl="2" w:tplc="71A402F0">
      <w:start w:val="1"/>
      <w:numFmt w:val="bullet"/>
      <w:lvlText w:val="■"/>
      <w:lvlJc w:val="left"/>
      <w:pPr>
        <w:ind w:left="2160" w:hanging="360"/>
      </w:pPr>
    </w:lvl>
    <w:lvl w:ilvl="3" w:tplc="3076A7B0">
      <w:start w:val="1"/>
      <w:numFmt w:val="bullet"/>
      <w:lvlText w:val="●"/>
      <w:lvlJc w:val="left"/>
      <w:pPr>
        <w:ind w:left="2880" w:hanging="360"/>
      </w:pPr>
    </w:lvl>
    <w:lvl w:ilvl="4" w:tplc="93E2A7C0">
      <w:start w:val="1"/>
      <w:numFmt w:val="bullet"/>
      <w:lvlText w:val="○"/>
      <w:lvlJc w:val="left"/>
      <w:pPr>
        <w:ind w:left="3600" w:hanging="360"/>
      </w:pPr>
    </w:lvl>
    <w:lvl w:ilvl="5" w:tplc="045EFA76">
      <w:start w:val="1"/>
      <w:numFmt w:val="bullet"/>
      <w:lvlText w:val="■"/>
      <w:lvlJc w:val="left"/>
      <w:pPr>
        <w:ind w:left="4320" w:hanging="360"/>
      </w:pPr>
    </w:lvl>
    <w:lvl w:ilvl="6" w:tplc="0E60F284">
      <w:start w:val="1"/>
      <w:numFmt w:val="bullet"/>
      <w:lvlText w:val="●"/>
      <w:lvlJc w:val="left"/>
      <w:pPr>
        <w:ind w:left="5040" w:hanging="360"/>
      </w:pPr>
    </w:lvl>
    <w:lvl w:ilvl="7" w:tplc="5AF4B600">
      <w:start w:val="1"/>
      <w:numFmt w:val="bullet"/>
      <w:lvlText w:val="●"/>
      <w:lvlJc w:val="left"/>
      <w:pPr>
        <w:ind w:left="5760" w:hanging="360"/>
      </w:pPr>
    </w:lvl>
    <w:lvl w:ilvl="8" w:tplc="D276B486">
      <w:start w:val="1"/>
      <w:numFmt w:val="bullet"/>
      <w:lvlText w:val="●"/>
      <w:lvlJc w:val="left"/>
      <w:pPr>
        <w:ind w:left="6480" w:hanging="360"/>
      </w:pPr>
    </w:lvl>
  </w:abstractNum>
  <w:num w:numId="1" w16cid:durableId="1007289622">
    <w:abstractNumId w:val="1"/>
    <w:lvlOverride w:ilvl="0">
      <w:startOverride w:val="1"/>
    </w:lvlOverride>
  </w:num>
  <w:num w:numId="2" w16cid:durableId="11762669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15FB"/>
    <w:rsid w:val="001E0BB8"/>
    <w:rsid w:val="001E0C5E"/>
    <w:rsid w:val="001E1651"/>
    <w:rsid w:val="003315DF"/>
    <w:rsid w:val="003464D9"/>
    <w:rsid w:val="00464C8B"/>
    <w:rsid w:val="004805BC"/>
    <w:rsid w:val="005262E6"/>
    <w:rsid w:val="005D6CD3"/>
    <w:rsid w:val="006E37A3"/>
    <w:rsid w:val="00807175"/>
    <w:rsid w:val="008315FB"/>
    <w:rsid w:val="00850A28"/>
    <w:rsid w:val="00910D1F"/>
    <w:rsid w:val="00981D1F"/>
    <w:rsid w:val="009C1E62"/>
    <w:rsid w:val="009C7E0D"/>
    <w:rsid w:val="00A22C89"/>
    <w:rsid w:val="00AF6353"/>
    <w:rsid w:val="00B43350"/>
    <w:rsid w:val="00B513AB"/>
    <w:rsid w:val="00B64F4C"/>
    <w:rsid w:val="00BB06F6"/>
    <w:rsid w:val="00BD61F0"/>
    <w:rsid w:val="00C51B6C"/>
    <w:rsid w:val="00D02FD3"/>
    <w:rsid w:val="00DF717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9B184"/>
  <w15:docId w15:val="{5296A1D1-AC44-43F7-BC17-3CA9C3547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E2A32"/>
        <w:sz w:val="21"/>
        <w:szCs w:val="21"/>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uiPriority w:val="9"/>
    <w:qFormat/>
    <w:pPr>
      <w:outlineLvl w:val="0"/>
    </w:pPr>
    <w:rPr>
      <w:b/>
      <w:bCs/>
      <w:sz w:val="26"/>
      <w:szCs w:val="26"/>
    </w:rPr>
  </w:style>
  <w:style w:type="paragraph" w:styleId="Overskrift2">
    <w:name w:val="heading 2"/>
    <w:uiPriority w:val="9"/>
    <w:semiHidden/>
    <w:unhideWhenUsed/>
    <w:qFormat/>
    <w:pPr>
      <w:outlineLvl w:val="1"/>
    </w:pPr>
    <w:rPr>
      <w:color w:val="2E74B5"/>
      <w:sz w:val="26"/>
      <w:szCs w:val="26"/>
    </w:rPr>
  </w:style>
  <w:style w:type="paragraph" w:styleId="Overskrift3">
    <w:name w:val="heading 3"/>
    <w:uiPriority w:val="9"/>
    <w:semiHidden/>
    <w:unhideWhenUsed/>
    <w:qFormat/>
    <w:pPr>
      <w:outlineLvl w:val="2"/>
    </w:pPr>
    <w:rPr>
      <w:color w:val="1F4D78"/>
      <w:sz w:val="24"/>
      <w:szCs w:val="24"/>
    </w:rPr>
  </w:style>
  <w:style w:type="paragraph" w:styleId="Overskrift4">
    <w:name w:val="heading 4"/>
    <w:uiPriority w:val="9"/>
    <w:semiHidden/>
    <w:unhideWhenUsed/>
    <w:qFormat/>
    <w:pPr>
      <w:outlineLvl w:val="3"/>
    </w:pPr>
    <w:rPr>
      <w:i/>
      <w:iCs/>
      <w:color w:val="2E74B5"/>
    </w:rPr>
  </w:style>
  <w:style w:type="paragraph" w:styleId="Overskrift5">
    <w:name w:val="heading 5"/>
    <w:uiPriority w:val="9"/>
    <w:semiHidden/>
    <w:unhideWhenUsed/>
    <w:qFormat/>
    <w:pPr>
      <w:outlineLvl w:val="4"/>
    </w:pPr>
    <w:rPr>
      <w:color w:val="2E74B5"/>
    </w:rPr>
  </w:style>
  <w:style w:type="paragraph" w:styleId="Overskrift6">
    <w:name w:val="heading 6"/>
    <w:uiPriority w:val="9"/>
    <w:semiHidden/>
    <w:unhideWhenUsed/>
    <w:qFormat/>
    <w:pPr>
      <w:outlineLvl w:val="5"/>
    </w:pPr>
    <w:rPr>
      <w:color w:val="1F4D7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uiPriority w:val="10"/>
    <w:qFormat/>
    <w:rPr>
      <w:sz w:val="56"/>
      <w:szCs w:val="56"/>
    </w:rPr>
  </w:style>
  <w:style w:type="paragraph" w:customStyle="1" w:styleId="Strk1">
    <w:name w:val="Stærk1"/>
    <w:qFormat/>
    <w:rPr>
      <w:b/>
      <w:bCs/>
    </w:rPr>
  </w:style>
  <w:style w:type="paragraph" w:styleId="Listeafsnit">
    <w:name w:val="List Paragraph"/>
    <w:qFormat/>
  </w:style>
  <w:style w:type="character" w:styleId="Hyperlink">
    <w:name w:val="Hyperlink"/>
    <w:uiPriority w:val="99"/>
    <w:unhideWhenUsed/>
    <w:rPr>
      <w:color w:val="0563C1"/>
      <w:u w:val="single"/>
    </w:rPr>
  </w:style>
  <w:style w:type="character" w:styleId="Fodnotehenvisning">
    <w:name w:val="footnote reference"/>
    <w:uiPriority w:val="99"/>
    <w:semiHidden/>
    <w:unhideWhenUsed/>
    <w:rPr>
      <w:vertAlign w:val="superscript"/>
    </w:rPr>
  </w:style>
  <w:style w:type="paragraph" w:styleId="Fodnotetekst">
    <w:name w:val="footnote text"/>
    <w:link w:val="FodnotetekstTegn"/>
    <w:uiPriority w:val="99"/>
    <w:semiHidden/>
    <w:unhideWhenUsed/>
    <w:rPr>
      <w:sz w:val="20"/>
      <w:szCs w:val="20"/>
    </w:rPr>
  </w:style>
  <w:style w:type="character" w:customStyle="1" w:styleId="FodnotetekstTegn">
    <w:name w:val="Fodnotetekst Tegn"/>
    <w:link w:val="Fodnotetekst"/>
    <w:uiPriority w:val="99"/>
    <w:semiHidden/>
    <w:unhideWhenUsed/>
    <w:rPr>
      <w:sz w:val="20"/>
      <w:szCs w:val="20"/>
    </w:rPr>
  </w:style>
  <w:style w:type="character" w:styleId="Slutnotehenvisning">
    <w:name w:val="endnote reference"/>
    <w:uiPriority w:val="99"/>
    <w:semiHidden/>
    <w:unhideWhenUsed/>
    <w:rPr>
      <w:vertAlign w:val="superscript"/>
    </w:rPr>
  </w:style>
  <w:style w:type="paragraph" w:styleId="Slutnotetekst">
    <w:name w:val="endnote text"/>
    <w:link w:val="SlutnotetekstTegn"/>
    <w:uiPriority w:val="99"/>
    <w:semiHidden/>
    <w:unhideWhenUsed/>
    <w:rPr>
      <w:sz w:val="20"/>
      <w:szCs w:val="20"/>
    </w:rPr>
  </w:style>
  <w:style w:type="character" w:customStyle="1" w:styleId="SlutnotetekstTegn">
    <w:name w:val="Slutnotetekst Tegn"/>
    <w:link w:val="Slutnotetekst"/>
    <w:uiPriority w:val="99"/>
    <w:semiHidden/>
    <w:unhideWhenUsed/>
    <w:rPr>
      <w:sz w:val="20"/>
      <w:szCs w:val="20"/>
    </w:rPr>
  </w:style>
  <w:style w:type="character" w:styleId="Ulstomtale">
    <w:name w:val="Unresolved Mention"/>
    <w:basedOn w:val="Standardskrifttypeiafsnit"/>
    <w:uiPriority w:val="99"/>
    <w:semiHidden/>
    <w:unhideWhenUsed/>
    <w:rsid w:val="00D02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fanwave.d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4</Pages>
  <Words>1368</Words>
  <Characters>8351</Characters>
  <Application>Microsoft Office Word</Application>
  <DocSecurity>0</DocSecurity>
  <Lines>69</Lines>
  <Paragraphs>19</Paragraphs>
  <ScaleCrop>false</ScaleCrop>
  <Company/>
  <LinksUpToDate>false</LinksUpToDate>
  <CharactersWithSpaces>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Fanwave ApS – Garantibetingelser</dc:title>
  <dc:creator>Fanwave ApS</dc:creator>
  <dc:description>Garantibetingelser for Fanwave ApS, version 1.1</dc:description>
  <cp:lastModifiedBy>Jacob Gyde Kragh</cp:lastModifiedBy>
  <cp:revision>23</cp:revision>
  <dcterms:created xsi:type="dcterms:W3CDTF">2026-09-03T12:00:00Z</dcterms:created>
  <dcterms:modified xsi:type="dcterms:W3CDTF">2026-10-06T09:33:00Z</dcterms:modified>
</cp:coreProperties>
</file>